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098" w:rsidRPr="004E18DA"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4E18DA">
        <w:rPr>
          <w:rFonts w:ascii="Times New Roman" w:hAnsi="Times New Roman" w:cs="Times New Roman"/>
          <w:b/>
          <w:sz w:val="28"/>
          <w:szCs w:val="28"/>
        </w:rPr>
        <w:t>Обзор судебной практики по делам с участием</w:t>
      </w:r>
    </w:p>
    <w:p w:rsidR="00586098" w:rsidRPr="004E18DA"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4E18DA">
        <w:rPr>
          <w:rFonts w:ascii="Times New Roman" w:hAnsi="Times New Roman" w:cs="Times New Roman"/>
          <w:b/>
          <w:sz w:val="28"/>
          <w:szCs w:val="28"/>
        </w:rPr>
        <w:t>Межрегионального контрольно-ревизионного управления Федерального казначейства</w:t>
      </w:r>
    </w:p>
    <w:p w:rsidR="00586098" w:rsidRPr="004E18DA"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4E18DA">
        <w:rPr>
          <w:rFonts w:ascii="Times New Roman" w:hAnsi="Times New Roman" w:cs="Times New Roman"/>
          <w:b/>
          <w:sz w:val="28"/>
          <w:szCs w:val="28"/>
        </w:rPr>
        <w:t xml:space="preserve">за </w:t>
      </w:r>
      <w:r w:rsidR="00AD7DC8" w:rsidRPr="004E18DA">
        <w:rPr>
          <w:rFonts w:ascii="Times New Roman" w:hAnsi="Times New Roman" w:cs="Times New Roman"/>
          <w:b/>
          <w:sz w:val="28"/>
          <w:szCs w:val="28"/>
          <w:lang w:val="en-US"/>
        </w:rPr>
        <w:t>I</w:t>
      </w:r>
      <w:r w:rsidRPr="004E18DA">
        <w:rPr>
          <w:rFonts w:ascii="Times New Roman" w:hAnsi="Times New Roman" w:cs="Times New Roman"/>
          <w:b/>
          <w:sz w:val="28"/>
          <w:szCs w:val="28"/>
        </w:rPr>
        <w:t xml:space="preserve"> </w:t>
      </w:r>
      <w:r w:rsidR="00643826" w:rsidRPr="004E18DA">
        <w:rPr>
          <w:rFonts w:ascii="Times New Roman" w:hAnsi="Times New Roman" w:cs="Times New Roman"/>
          <w:b/>
          <w:sz w:val="28"/>
          <w:szCs w:val="28"/>
        </w:rPr>
        <w:t>квартал</w:t>
      </w:r>
      <w:r w:rsidR="00A04EA8" w:rsidRPr="004E18DA">
        <w:rPr>
          <w:rFonts w:ascii="Times New Roman" w:hAnsi="Times New Roman" w:cs="Times New Roman"/>
          <w:b/>
          <w:sz w:val="28"/>
          <w:szCs w:val="28"/>
        </w:rPr>
        <w:t xml:space="preserve"> 202</w:t>
      </w:r>
      <w:r w:rsidR="00EE6D74" w:rsidRPr="004E18DA">
        <w:rPr>
          <w:rFonts w:ascii="Times New Roman" w:hAnsi="Times New Roman" w:cs="Times New Roman"/>
          <w:b/>
          <w:sz w:val="28"/>
          <w:szCs w:val="28"/>
        </w:rPr>
        <w:t>3</w:t>
      </w:r>
      <w:r w:rsidRPr="004E18DA">
        <w:rPr>
          <w:rFonts w:ascii="Times New Roman" w:hAnsi="Times New Roman" w:cs="Times New Roman"/>
          <w:b/>
          <w:sz w:val="28"/>
          <w:szCs w:val="28"/>
        </w:rPr>
        <w:t xml:space="preserve"> года</w:t>
      </w:r>
    </w:p>
    <w:p w:rsidR="005676DC" w:rsidRPr="004E18DA" w:rsidRDefault="005676DC" w:rsidP="005676DC">
      <w:pPr>
        <w:autoSpaceDE w:val="0"/>
        <w:autoSpaceDN w:val="0"/>
        <w:adjustRightInd w:val="0"/>
        <w:spacing w:after="0" w:line="240" w:lineRule="auto"/>
        <w:jc w:val="both"/>
        <w:rPr>
          <w:rFonts w:ascii="Times New Roman" w:hAnsi="Times New Roman" w:cs="Times New Roman"/>
          <w:sz w:val="28"/>
          <w:szCs w:val="28"/>
        </w:rPr>
      </w:pPr>
    </w:p>
    <w:p w:rsidR="00586098" w:rsidRPr="004E18DA"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4E18DA">
        <w:rPr>
          <w:rFonts w:ascii="Times New Roman" w:hAnsi="Times New Roman" w:cs="Times New Roman"/>
          <w:sz w:val="28"/>
          <w:szCs w:val="28"/>
        </w:rPr>
        <w:t>Раздел 1. Практика рассмотрения дел, в которых требования</w:t>
      </w:r>
    </w:p>
    <w:p w:rsidR="00586098" w:rsidRPr="004E18DA"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4E18DA">
        <w:rPr>
          <w:rFonts w:ascii="Times New Roman" w:hAnsi="Times New Roman" w:cs="Times New Roman"/>
          <w:sz w:val="28"/>
          <w:szCs w:val="28"/>
        </w:rPr>
        <w:t>заявлены к территориальным органам Федерального</w:t>
      </w:r>
    </w:p>
    <w:p w:rsidR="00586098" w:rsidRPr="004E18DA"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4E18DA">
        <w:rPr>
          <w:rFonts w:ascii="Times New Roman" w:hAnsi="Times New Roman" w:cs="Times New Roman"/>
          <w:sz w:val="28"/>
          <w:szCs w:val="28"/>
        </w:rPr>
        <w:t>казначейства/Федеральному казенному учреждению "Центр</w:t>
      </w:r>
    </w:p>
    <w:p w:rsidR="00586098" w:rsidRPr="004E18DA"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4E18DA">
        <w:rPr>
          <w:rFonts w:ascii="Times New Roman" w:hAnsi="Times New Roman" w:cs="Times New Roman"/>
          <w:sz w:val="28"/>
          <w:szCs w:val="28"/>
        </w:rPr>
        <w:t>по обеспечению деятельности Казначейства России"</w:t>
      </w:r>
    </w:p>
    <w:p w:rsidR="005676DC" w:rsidRPr="004E18DA" w:rsidRDefault="005676DC" w:rsidP="005676DC">
      <w:pPr>
        <w:autoSpaceDE w:val="0"/>
        <w:autoSpaceDN w:val="0"/>
        <w:adjustRightInd w:val="0"/>
        <w:spacing w:after="0" w:line="360" w:lineRule="auto"/>
        <w:jc w:val="center"/>
        <w:rPr>
          <w:rFonts w:ascii="Times New Roman" w:hAnsi="Times New Roman" w:cs="Times New Roman"/>
          <w:sz w:val="28"/>
          <w:szCs w:val="28"/>
        </w:rPr>
      </w:pPr>
    </w:p>
    <w:p w:rsidR="00572D29" w:rsidRPr="004E18DA" w:rsidRDefault="00572D29" w:rsidP="00572D29">
      <w:pPr>
        <w:autoSpaceDE w:val="0"/>
        <w:autoSpaceDN w:val="0"/>
        <w:adjustRightInd w:val="0"/>
        <w:spacing w:after="0" w:line="240" w:lineRule="auto"/>
        <w:ind w:firstLine="540"/>
        <w:jc w:val="both"/>
        <w:rPr>
          <w:rFonts w:ascii="Times New Roman" w:hAnsi="Times New Roman" w:cs="Times New Roman"/>
          <w:sz w:val="28"/>
          <w:szCs w:val="28"/>
        </w:rPr>
      </w:pPr>
      <w:r w:rsidRPr="004E18DA">
        <w:rPr>
          <w:rFonts w:ascii="Times New Roman" w:hAnsi="Times New Roman" w:cs="Times New Roman"/>
          <w:sz w:val="28"/>
          <w:szCs w:val="28"/>
        </w:rPr>
        <w:t>Судебных актов, необходимых для включения в Обзор судебной практики, не выносилось.</w:t>
      </w:r>
    </w:p>
    <w:p w:rsidR="00E22247" w:rsidRPr="004E18DA" w:rsidRDefault="00E22247" w:rsidP="005676DC">
      <w:pPr>
        <w:autoSpaceDE w:val="0"/>
        <w:autoSpaceDN w:val="0"/>
        <w:adjustRightInd w:val="0"/>
        <w:spacing w:after="0" w:line="240" w:lineRule="auto"/>
        <w:jc w:val="center"/>
        <w:outlineLvl w:val="0"/>
        <w:rPr>
          <w:rFonts w:ascii="Times New Roman" w:hAnsi="Times New Roman" w:cs="Times New Roman"/>
          <w:sz w:val="28"/>
          <w:szCs w:val="28"/>
        </w:rPr>
      </w:pPr>
    </w:p>
    <w:p w:rsidR="00586098" w:rsidRPr="004E18DA"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4E18DA">
        <w:rPr>
          <w:rFonts w:ascii="Times New Roman" w:hAnsi="Times New Roman" w:cs="Times New Roman"/>
          <w:sz w:val="28"/>
          <w:szCs w:val="28"/>
        </w:rPr>
        <w:t>Раздел 2. Практика рассмотрения дел, в которых требования</w:t>
      </w:r>
    </w:p>
    <w:p w:rsidR="00586098" w:rsidRPr="004E18DA"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4E18DA">
        <w:rPr>
          <w:rFonts w:ascii="Times New Roman" w:hAnsi="Times New Roman" w:cs="Times New Roman"/>
          <w:sz w:val="28"/>
          <w:szCs w:val="28"/>
        </w:rPr>
        <w:t>заявлены территориальными органами Федерального</w:t>
      </w:r>
    </w:p>
    <w:p w:rsidR="00586098" w:rsidRPr="004E18DA"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4E18DA">
        <w:rPr>
          <w:rFonts w:ascii="Times New Roman" w:hAnsi="Times New Roman" w:cs="Times New Roman"/>
          <w:sz w:val="28"/>
          <w:szCs w:val="28"/>
        </w:rPr>
        <w:t>казначейства/Федеральным казенным учреждением "Центр</w:t>
      </w:r>
    </w:p>
    <w:p w:rsidR="00586098" w:rsidRPr="004E18DA"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4E18DA">
        <w:rPr>
          <w:rFonts w:ascii="Times New Roman" w:hAnsi="Times New Roman" w:cs="Times New Roman"/>
          <w:sz w:val="28"/>
          <w:szCs w:val="28"/>
        </w:rPr>
        <w:t>по обеспечению деятельности Казначейства России"</w:t>
      </w:r>
    </w:p>
    <w:p w:rsidR="00586098" w:rsidRPr="004E18DA"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EB6CC1" w:rsidRPr="004E18DA" w:rsidRDefault="00EB6CC1" w:rsidP="005676DC">
      <w:pPr>
        <w:autoSpaceDE w:val="0"/>
        <w:autoSpaceDN w:val="0"/>
        <w:adjustRightInd w:val="0"/>
        <w:spacing w:after="0" w:line="240" w:lineRule="auto"/>
        <w:ind w:firstLine="540"/>
        <w:jc w:val="both"/>
        <w:rPr>
          <w:rFonts w:ascii="Times New Roman" w:hAnsi="Times New Roman" w:cs="Times New Roman"/>
          <w:sz w:val="28"/>
          <w:szCs w:val="28"/>
        </w:rPr>
      </w:pPr>
      <w:r w:rsidRPr="004E18DA">
        <w:rPr>
          <w:rFonts w:ascii="Times New Roman" w:hAnsi="Times New Roman" w:cs="Times New Roman"/>
          <w:sz w:val="28"/>
          <w:szCs w:val="28"/>
        </w:rPr>
        <w:t>Судебных актов, необходимых для включения в Обзор судебной практики, не выносилось.</w:t>
      </w:r>
    </w:p>
    <w:p w:rsidR="00586098" w:rsidRPr="004E18DA"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586098" w:rsidRPr="004E18DA"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4E18DA">
        <w:rPr>
          <w:rFonts w:ascii="Times New Roman" w:hAnsi="Times New Roman" w:cs="Times New Roman"/>
          <w:sz w:val="28"/>
          <w:szCs w:val="28"/>
        </w:rPr>
        <w:t>Раздел 3. Положительная судебная практика</w:t>
      </w:r>
    </w:p>
    <w:p w:rsidR="00586098" w:rsidRPr="004E18DA"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D84D4C" w:rsidRPr="004E18DA"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r w:rsidRPr="004E18DA">
        <w:rPr>
          <w:rFonts w:ascii="Times New Roman" w:hAnsi="Times New Roman" w:cs="Times New Roman"/>
          <w:sz w:val="28"/>
          <w:szCs w:val="28"/>
        </w:rPr>
        <w:t>3.</w:t>
      </w:r>
      <w:r w:rsidR="00253A19" w:rsidRPr="004E18DA">
        <w:rPr>
          <w:rFonts w:ascii="Times New Roman" w:hAnsi="Times New Roman" w:cs="Times New Roman"/>
          <w:sz w:val="28"/>
          <w:szCs w:val="28"/>
        </w:rPr>
        <w:t>1</w:t>
      </w:r>
      <w:r w:rsidRPr="004E18DA">
        <w:rPr>
          <w:rFonts w:ascii="Times New Roman" w:hAnsi="Times New Roman" w:cs="Times New Roman"/>
          <w:sz w:val="28"/>
          <w:szCs w:val="28"/>
        </w:rPr>
        <w:t>. Дел</w:t>
      </w:r>
      <w:r w:rsidR="000F0CD3" w:rsidRPr="004E18DA">
        <w:rPr>
          <w:rFonts w:ascii="Times New Roman" w:hAnsi="Times New Roman" w:cs="Times New Roman"/>
          <w:sz w:val="28"/>
          <w:szCs w:val="28"/>
        </w:rPr>
        <w:t>а</w:t>
      </w:r>
      <w:r w:rsidRPr="004E18DA">
        <w:rPr>
          <w:rFonts w:ascii="Times New Roman" w:hAnsi="Times New Roman" w:cs="Times New Roman"/>
          <w:sz w:val="28"/>
          <w:szCs w:val="28"/>
        </w:rPr>
        <w:t xml:space="preserve"> по обжалованию </w:t>
      </w:r>
      <w:r w:rsidR="00537655" w:rsidRPr="004E18DA">
        <w:rPr>
          <w:rFonts w:ascii="Times New Roman" w:hAnsi="Times New Roman" w:cs="Times New Roman"/>
          <w:sz w:val="28"/>
          <w:szCs w:val="28"/>
        </w:rPr>
        <w:t>представлений, вынесенных объектам контроля</w:t>
      </w:r>
    </w:p>
    <w:p w:rsidR="00D6147B" w:rsidRPr="004E18DA"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7A1C13" w:rsidRPr="004E18DA" w:rsidTr="00282249">
        <w:tc>
          <w:tcPr>
            <w:tcW w:w="3181" w:type="dxa"/>
            <w:tcBorders>
              <w:top w:val="single" w:sz="4" w:space="0" w:color="auto"/>
              <w:left w:val="single" w:sz="4" w:space="0" w:color="auto"/>
              <w:bottom w:val="single" w:sz="4" w:space="0" w:color="auto"/>
              <w:right w:val="single" w:sz="4" w:space="0" w:color="auto"/>
            </w:tcBorders>
          </w:tcPr>
          <w:p w:rsidR="00D6147B" w:rsidRPr="004E18DA" w:rsidRDefault="00D6147B" w:rsidP="00282249">
            <w:pPr>
              <w:autoSpaceDE w:val="0"/>
              <w:autoSpaceDN w:val="0"/>
              <w:adjustRightInd w:val="0"/>
              <w:spacing w:after="0" w:line="240" w:lineRule="auto"/>
              <w:ind w:firstLine="227"/>
              <w:jc w:val="both"/>
              <w:rPr>
                <w:rFonts w:ascii="Times New Roman" w:hAnsi="Times New Roman" w:cs="Times New Roman"/>
                <w:bCs/>
                <w:sz w:val="28"/>
                <w:szCs w:val="28"/>
              </w:rPr>
            </w:pPr>
            <w:r w:rsidRPr="004E18DA">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3C3F15" w:rsidRPr="004E18DA" w:rsidRDefault="003C3F15" w:rsidP="003C3F15">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eastAsia="Times New Roman" w:hAnsi="Times New Roman" w:cs="Times New Roman"/>
                <w:sz w:val="28"/>
                <w:szCs w:val="28"/>
                <w:lang w:eastAsia="ar-SA"/>
              </w:rPr>
              <w:t>Федеральное</w:t>
            </w:r>
            <w:r w:rsidRPr="004E18DA">
              <w:rPr>
                <w:rFonts w:ascii="Times New Roman" w:hAnsi="Times New Roman"/>
                <w:sz w:val="28"/>
                <w:szCs w:val="28"/>
              </w:rPr>
              <w:t xml:space="preserve"> казенное учреждение «Дирекция государственного заказчика по реализации комплексных проектов развития транспортной инфраструктуры» (далее – ФКУ «Ространсмодернизация», Учреждение, заявитель) обратилось в Арбитражный суд г. Москвы с заявлением к Межрегиональному контрольно-ревизионному управлению Федерального казначейства (далее – Управление, заинтересованное лицо) о признании недействительным представления от 13.07.2022 № 93-12-13/68 в части констатации нецелевого характера использования бюджетных средств, произведенных по виду расходов «414 Бюджетные инвестиции в объекты капитального строительства государственной (муниципальной) собственности» на оказание услуг по охране объектов капитального строительства. </w:t>
            </w:r>
          </w:p>
          <w:p w:rsidR="000C0E22" w:rsidRPr="004E18DA" w:rsidRDefault="000C0E22" w:rsidP="003C3F15">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В пункте 1 представления от 13.07.2022 отражено, что в нарушение подпункта 3 пункта 1 стати 162 Бюджетного кодекса Российской Федерации (далее – БК </w:t>
            </w:r>
            <w:r w:rsidRPr="004E18DA">
              <w:rPr>
                <w:rFonts w:ascii="Times New Roman" w:hAnsi="Times New Roman"/>
                <w:sz w:val="28"/>
                <w:szCs w:val="28"/>
              </w:rPr>
              <w:lastRenderedPageBreak/>
              <w:t>РФ), пункта 5(1).2 Порядка применения бюджетной классификации Российской Федерации, утвержденного приказом Минфина России от 01.07.2013 № 65н (далее – Порядок № 65н), пункта 51.2.4.4 Порядка формирования и применения кодов бюджетной классификации Российской Федерации, их структуре и принципах назначения, утвержденного приказом Минфина России от 08.06.2018 № 132н (далее – Порядок № 132н), пункта 48.2.4.4 Порядка формирования и применения кодов бюджетной классификации Российской Федерации, их структуре и принципах назначения, утвержденного приказом Минфина России от 06.06.2019 № 85н (далее – Порядок № 85н), ФКУ «Ространсмодернизация» в 2018 – 2022 годах осуществлены расходы средств федерального бюджета на общую сумму 143 273 599,04 рубля не в соответствии с целями их предоставления, а именно расходы на оказание услуг по круглосуточной физической охране территорий и находящегося на них имущества и элементов незавершенного строительства объектов осуществлены по виду расходов 414 «Бюджетные инвестиции в объекты капитального строительства государственной (муниципальной) собственности», тогда как расходы по оплате охраны объектов незавершенного строительства осуществляются по виду расходов 244 «Прочая закупка товаров, работ и услуг».</w:t>
            </w:r>
          </w:p>
          <w:p w:rsidR="003C3F15" w:rsidRPr="004E18DA" w:rsidRDefault="003C3F15" w:rsidP="003C3F15">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Учреждение в обоснование заявленных требований указало, что оплата по договорам на оказание услуг по охране объектов капитального строительства производится по виду расходов 414 «Бюджетные инвестиции в объекты капитального строительства в объекты государственной (муниципальной) собственности» за счет резерва средств на непредвиденные работы и затраты, предназначенного для возмещения стоимости работ и затрат, потребность в которых возникает в процессе разработки рабочей документации и (или) в ходе строительства, а соответственно за счет расходов, предусмотренных сводным сметным расчетом стоимости строительства объекта. </w:t>
            </w:r>
          </w:p>
          <w:p w:rsidR="003C3F15" w:rsidRPr="004E18DA" w:rsidRDefault="003C3F15" w:rsidP="003C3F15">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Учреждение также ссылалось на положения приказа Министерства финансов Российской Федерации от 01.12.2010 № 157н «Об утверждении Единого плана счетов бухгалтерского учета для органов </w:t>
            </w:r>
            <w:r w:rsidRPr="004E18DA">
              <w:rPr>
                <w:rFonts w:ascii="Times New Roman" w:hAnsi="Times New Roman"/>
                <w:sz w:val="28"/>
                <w:szCs w:val="28"/>
              </w:rPr>
              <w:lastRenderedPageBreak/>
              <w:t xml:space="preserve">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Приказ № 157н), согласно которому объекты основных средств принимаются к бюджетному учету по их первоначальной стоимости, и перечисляет суммы фактических вложений учреждения, которые формируют стоимость основных средств. </w:t>
            </w:r>
          </w:p>
          <w:p w:rsidR="000C0E22" w:rsidRPr="004E18DA" w:rsidRDefault="003C3F15"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Управление в обоснование своей позиции указало, что </w:t>
            </w:r>
            <w:r w:rsidR="000C0E22" w:rsidRPr="004E18DA">
              <w:rPr>
                <w:rFonts w:ascii="Times New Roman" w:hAnsi="Times New Roman"/>
                <w:sz w:val="28"/>
                <w:szCs w:val="28"/>
              </w:rPr>
              <w:t>сводными сметными расчетами к государственным контрактам на строительство объектов не были предусмотрены расходы на оказание услуг по круглосуточной физической охране территорий и находящегося на них имущества.</w:t>
            </w:r>
          </w:p>
          <w:p w:rsidR="000C0E22" w:rsidRPr="004E18DA" w:rsidRDefault="000C0E22"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В соответствии с условиями государственных контрактов в процессе подготовки к строительству и непосредственно при выполнении работ по строительству объектов ответственность за сохранность имущества на объекте несет подрядчик. </w:t>
            </w:r>
          </w:p>
          <w:p w:rsidR="000C0E22" w:rsidRPr="004E18DA" w:rsidRDefault="000C0E22"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Резерв средств на непредвиденные работы и затраты может расходоваться в процессе осуществления строительства и не может расходоваться, когда строительство не осуществляется.</w:t>
            </w:r>
          </w:p>
          <w:p w:rsidR="000C0E22" w:rsidRPr="004E18DA" w:rsidRDefault="000C0E22"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Кроме того, за счет указанного резерва (поскольку он включен в смету) могут быть компенсированы работы и затраты только подрядчика. Услуги сторонних организаций, которые не участвуют в строительстве объекта, в период, когда строительство объектов не осуществляется, за счет резерва средств на непредвиденные работы и затраты не могут быть оплачены.</w:t>
            </w:r>
          </w:p>
          <w:p w:rsidR="000C0E22" w:rsidRPr="004E18DA" w:rsidRDefault="000C0E22"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Учреждением в проверенном периоде были заключены государственные контракт, в рамках которых услуги по охране оказывали организации, которые не являлись исполнителями по государственным контрактам на строительство объектов (подрядчиками), а являлись специализированными организациями охраны, не имеющими непосредственного отношения к строительству объектов. </w:t>
            </w:r>
          </w:p>
          <w:p w:rsidR="000C0E22" w:rsidRPr="004E18DA" w:rsidRDefault="000C0E22"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Кроме того, охранные организации оказывали услуги по охране после полной остановки строительства </w:t>
            </w:r>
            <w:r w:rsidRPr="004E18DA">
              <w:rPr>
                <w:rFonts w:ascii="Times New Roman" w:hAnsi="Times New Roman"/>
                <w:sz w:val="28"/>
                <w:szCs w:val="28"/>
              </w:rPr>
              <w:lastRenderedPageBreak/>
              <w:t>объектов, то есть в период, когда строительство не осуществлялось.</w:t>
            </w:r>
          </w:p>
          <w:p w:rsidR="000C0E22" w:rsidRPr="004E18DA" w:rsidRDefault="000C0E22" w:rsidP="000C0E2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В соответствии с пунктом 5(1).2 Порядка применения бюджетной классификации Российской Федерации, утвержденного приказом Минфина России от 01.07.2013 № 65н, пунктом 51.4.3.4 Порядка формирования и применения кодов бюджетной классификации Российской Федерации, их структуре и принципах назначения, утвержденного приказом Минфина России от 08.06.2018 № 132н, пунктом 48.4.3.4 Порядка формирования и применения кодов бюджетной классификации Российской Федерации, их структуре и принципах назначения, утвержденного приказом Минфина России от 06.06.2019 № 85н,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5C79C7" w:rsidRPr="004E18DA" w:rsidRDefault="005C79C7" w:rsidP="005C79C7">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Перечень затрат, являющихся фактически произведенными капитальными вложениями, формирующих первоначальную стоимость объекта основных средств, определен положениями пункта 15 Федерального стандарта бухгалтерского учета для организаций государственного сектора «Основные средства», утвержденного приказом Минфина России от 31.12.2016 № 257н.</w:t>
            </w:r>
          </w:p>
          <w:p w:rsidR="00D6147B" w:rsidRPr="004E18DA" w:rsidRDefault="005C79C7" w:rsidP="00305CD8">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Услуги по круглосуточной физической охране объектов, строительство которых не завершено, не связаны с приобретением, сооружением и (или) изготовлением объектов основным средств, так как фактически в период их охраны строительство не осуществлялась, в связи с чем не формируют первоначальную стоимость объекта для целей бухгалтерского учета.</w:t>
            </w:r>
          </w:p>
        </w:tc>
      </w:tr>
      <w:tr w:rsidR="007A1C13" w:rsidRPr="004E18DA" w:rsidTr="00282249">
        <w:tc>
          <w:tcPr>
            <w:tcW w:w="3181" w:type="dxa"/>
            <w:tcBorders>
              <w:top w:val="single" w:sz="4" w:space="0" w:color="auto"/>
              <w:left w:val="single" w:sz="4" w:space="0" w:color="auto"/>
              <w:bottom w:val="single" w:sz="4" w:space="0" w:color="auto"/>
              <w:right w:val="single" w:sz="4" w:space="0" w:color="auto"/>
            </w:tcBorders>
            <w:vAlign w:val="bottom"/>
          </w:tcPr>
          <w:p w:rsidR="00D6147B" w:rsidRPr="004E18DA" w:rsidRDefault="00D6147B" w:rsidP="00282249">
            <w:pPr>
              <w:autoSpaceDE w:val="0"/>
              <w:autoSpaceDN w:val="0"/>
              <w:adjustRightInd w:val="0"/>
              <w:spacing w:after="0" w:line="240" w:lineRule="auto"/>
              <w:ind w:firstLine="227"/>
              <w:jc w:val="both"/>
              <w:rPr>
                <w:rFonts w:ascii="Times New Roman" w:hAnsi="Times New Roman" w:cs="Times New Roman"/>
                <w:bCs/>
                <w:sz w:val="28"/>
                <w:szCs w:val="28"/>
              </w:rPr>
            </w:pPr>
            <w:r w:rsidRPr="004E18DA">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D6147B" w:rsidRPr="004E18DA" w:rsidRDefault="00305CD8" w:rsidP="0028224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w:t>
            </w:r>
          </w:p>
        </w:tc>
      </w:tr>
      <w:tr w:rsidR="007A1C13" w:rsidRPr="004E18DA" w:rsidTr="00282249">
        <w:tc>
          <w:tcPr>
            <w:tcW w:w="3181" w:type="dxa"/>
            <w:tcBorders>
              <w:top w:val="single" w:sz="4" w:space="0" w:color="auto"/>
              <w:left w:val="single" w:sz="4" w:space="0" w:color="auto"/>
              <w:bottom w:val="single" w:sz="4" w:space="0" w:color="auto"/>
              <w:right w:val="single" w:sz="4" w:space="0" w:color="auto"/>
            </w:tcBorders>
          </w:tcPr>
          <w:p w:rsidR="00D6147B" w:rsidRPr="004E18DA" w:rsidRDefault="00D6147B" w:rsidP="00D6147B">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D6147B" w:rsidRPr="004E18DA" w:rsidRDefault="00305CD8" w:rsidP="00D6147B">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Дело № А40-183407/2022, Решение Арбитражного суда города Москвы от 27.10.2022;</w:t>
            </w:r>
          </w:p>
          <w:p w:rsidR="00305CD8" w:rsidRPr="004E18DA" w:rsidRDefault="00305CD8" w:rsidP="00D6147B">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Дело № 09АП-86238/2022, Постановление Девятого арбитражного апелляционного суда от 24.01.2023.</w:t>
            </w:r>
          </w:p>
          <w:p w:rsidR="009E0EFB" w:rsidRPr="004E18DA" w:rsidRDefault="009E0EFB" w:rsidP="00D6147B">
            <w:pPr>
              <w:autoSpaceDE w:val="0"/>
              <w:autoSpaceDN w:val="0"/>
              <w:adjustRightInd w:val="0"/>
              <w:spacing w:after="0" w:line="240" w:lineRule="auto"/>
              <w:ind w:firstLine="283"/>
              <w:jc w:val="both"/>
              <w:rPr>
                <w:rFonts w:ascii="Times New Roman" w:hAnsi="Times New Roman" w:cs="Times New Roman"/>
                <w:sz w:val="28"/>
                <w:szCs w:val="28"/>
              </w:rPr>
            </w:pPr>
          </w:p>
        </w:tc>
      </w:tr>
      <w:tr w:rsidR="007A1C13" w:rsidRPr="004E18DA" w:rsidTr="00282249">
        <w:tc>
          <w:tcPr>
            <w:tcW w:w="3181" w:type="dxa"/>
            <w:tcBorders>
              <w:top w:val="single" w:sz="4" w:space="0" w:color="auto"/>
              <w:left w:val="single" w:sz="4" w:space="0" w:color="auto"/>
              <w:bottom w:val="single" w:sz="4" w:space="0" w:color="auto"/>
              <w:right w:val="single" w:sz="4" w:space="0" w:color="auto"/>
            </w:tcBorders>
          </w:tcPr>
          <w:p w:rsidR="00D6147B" w:rsidRPr="004E18DA"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4E18DA">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Суд указал, что сводными сметными расчетами к государственным контрактам на строительство объектов не были предусмотрены расходы на оказание услуг по круглосуточной физической охране территорий и находящегося на них имущества.</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Резерв средств на непредвиденные работы и затраты может расходоваться в процессе осуществления строительства и не может расходоваться, когда строительство не осуществляется.</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Кроме того, за счет указанного резерва (поскольку он включен в смету) могут быть компенсированы работы и затраты только подрядчика. Услуги сторонних организаций, которые не участвуют в строительстве объекта, в период, когда строительство объектов не осуществляется, за счет резерва средств на непредвиденные работы и затраты не могут быть оплачены.</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В рамках заключенных государственных контрактов услуги по охране оказывали организации, которые не являлись исполнителями по государственным контрактам на строительство объектов (подрядчиками), а являлись специализированными организациями охраны, не имеющими непосредственного отношения к строительству объектов. </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Кроме того, охранные организации оказывали услуги по охране после полной остановки строительства объектов, то есть в период, когда строительство не осуществлялось.</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lastRenderedPageBreak/>
              <w:t xml:space="preserve">Суд также указал, что услуги по круглосуточной физической охране объектов, строительство которых не завершено, не связаны с приобретением, сооружением и (или) изготовлением объектов основным средств, так как фактически в период их охраны строительство не осуществлялась. </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С учетом изложенного довод заявителя о том, что договоры на охрану в соответствии с приказом Минфина России от 01.12.2010 № 157н формируют первоначальную стоимость объекта для целей бухгалтерского учета, не соответствует фактическим обстоятельствам дела. Оказание услуг по охране сторонними организациями не увеличивает стоимость объекта капитального строительства.</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Суд пришел к выводу о том, что в рамках рассматриваемого дела заявителем не доказано, что заинтересованным лицом были нарушены его права и законные интересы. Изложенные в решении обстоятельства являются достаточными для того, чтобы считать, что требование заявителя не основано на законе, основания для удовлетворения заявленных требований отсутствуют.</w:t>
            </w:r>
          </w:p>
          <w:p w:rsidR="00C4367A"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Заявителем не доказано нарушение его прав и законным интересов при принятии оспариваемого решения и оспариваемым решением.</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Суд апелляционной инстанции полностью согласился с выводами суда первой инстанции, указал, что сводными сметными расчетами к государственным контрактам на строительство объектов не были предусмотрены расходы на оказание услуг по круглосуточной физической охране территорий и находящегося на них имущества.</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Учитывая совокупность установленных по делу обстоятельств, суд апелляционной инстанции согласился с выводами суда первой инстанции о неправомерности заявленных требований, указал, что при рассмотрении дела и принятии обжалуемого решения судом первой инстанции были установлены все существенные для дела обстоятельства и им дана надлежащая правовая оценка. Выводы суда первой инстанции основаны на всестороннем и полном исследовании доказательств по делу. Нормы материального права применены правильно.</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lastRenderedPageBreak/>
              <w:t>Заявленные в апелляционной жалобе доводы направлены лишь на переоценку имеющихся в материалах дела доказательств и изложенных обстоятельств, правомерно установленных судом, ввиду чего являются несостоятельными, поскольку основаны на неверном толковании норм права и не могут быть положены в основу отмены решения.</w:t>
            </w:r>
          </w:p>
          <w:p w:rsidR="00B6738D" w:rsidRPr="004E18DA"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Нарушений норм процессуального права, влекущих безусловную отмену судебного акта (ч. 4 ст. 270 АПК РФ), при принятии решения судом первой инстанции не допущено.</w:t>
            </w:r>
          </w:p>
          <w:p w:rsidR="00B6738D" w:rsidRPr="004E18DA" w:rsidRDefault="00B6738D" w:rsidP="00B6738D">
            <w:pPr>
              <w:autoSpaceDE w:val="0"/>
              <w:autoSpaceDN w:val="0"/>
              <w:adjustRightInd w:val="0"/>
              <w:spacing w:after="0" w:line="240" w:lineRule="auto"/>
              <w:ind w:firstLine="283"/>
              <w:jc w:val="both"/>
              <w:rPr>
                <w:sz w:val="28"/>
                <w:szCs w:val="28"/>
              </w:rPr>
            </w:pPr>
          </w:p>
        </w:tc>
      </w:tr>
      <w:tr w:rsidR="007A1C13" w:rsidRPr="004E18DA" w:rsidTr="00282249">
        <w:tc>
          <w:tcPr>
            <w:tcW w:w="3181" w:type="dxa"/>
            <w:tcBorders>
              <w:top w:val="single" w:sz="4" w:space="0" w:color="auto"/>
              <w:left w:val="single" w:sz="4" w:space="0" w:color="auto"/>
              <w:bottom w:val="single" w:sz="4" w:space="0" w:color="auto"/>
              <w:right w:val="single" w:sz="4" w:space="0" w:color="auto"/>
            </w:tcBorders>
            <w:vAlign w:val="center"/>
          </w:tcPr>
          <w:p w:rsidR="00D6147B" w:rsidRPr="004E18DA"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4E18DA">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D6147B" w:rsidRPr="004E18DA" w:rsidRDefault="00D6147B" w:rsidP="00305CD8">
            <w:pPr>
              <w:autoSpaceDE w:val="0"/>
              <w:autoSpaceDN w:val="0"/>
              <w:adjustRightInd w:val="0"/>
              <w:spacing w:after="0" w:line="240" w:lineRule="auto"/>
              <w:ind w:firstLine="227"/>
              <w:rPr>
                <w:rFonts w:ascii="Times New Roman" w:hAnsi="Times New Roman" w:cs="Times New Roman"/>
                <w:bCs/>
                <w:sz w:val="28"/>
                <w:szCs w:val="28"/>
              </w:rPr>
            </w:pPr>
            <w:r w:rsidRPr="004E18DA">
              <w:rPr>
                <w:rFonts w:ascii="Times New Roman" w:hAnsi="Times New Roman" w:cs="Times New Roman"/>
                <w:bCs/>
                <w:sz w:val="28"/>
                <w:szCs w:val="28"/>
              </w:rPr>
              <w:t>Дело № 21-13/</w:t>
            </w:r>
            <w:r w:rsidR="00305CD8" w:rsidRPr="004E18DA">
              <w:rPr>
                <w:rFonts w:ascii="Times New Roman" w:hAnsi="Times New Roman" w:cs="Times New Roman"/>
                <w:bCs/>
                <w:sz w:val="28"/>
                <w:szCs w:val="28"/>
              </w:rPr>
              <w:t>28-2022</w:t>
            </w:r>
            <w:r w:rsidRPr="004E18DA">
              <w:rPr>
                <w:rFonts w:ascii="Times New Roman" w:hAnsi="Times New Roman" w:cs="Times New Roman"/>
                <w:bCs/>
                <w:sz w:val="28"/>
                <w:szCs w:val="28"/>
              </w:rPr>
              <w:t xml:space="preserve"> от </w:t>
            </w:r>
            <w:r w:rsidR="00305CD8" w:rsidRPr="004E18DA">
              <w:rPr>
                <w:rFonts w:ascii="Times New Roman" w:hAnsi="Times New Roman" w:cs="Times New Roman"/>
                <w:bCs/>
                <w:sz w:val="28"/>
                <w:szCs w:val="28"/>
              </w:rPr>
              <w:t>29.08.2022</w:t>
            </w:r>
          </w:p>
        </w:tc>
      </w:tr>
    </w:tbl>
    <w:p w:rsidR="00D6147B" w:rsidRPr="004E18DA"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184982" w:rsidRPr="004E18DA" w:rsidTr="00094DBB">
        <w:tc>
          <w:tcPr>
            <w:tcW w:w="3118" w:type="dxa"/>
            <w:tcBorders>
              <w:top w:val="single" w:sz="4" w:space="0" w:color="auto"/>
              <w:left w:val="single" w:sz="4" w:space="0" w:color="auto"/>
              <w:bottom w:val="single" w:sz="4" w:space="0" w:color="auto"/>
              <w:right w:val="single" w:sz="4" w:space="0" w:color="auto"/>
            </w:tcBorders>
          </w:tcPr>
          <w:p w:rsidR="00184982" w:rsidRPr="004E18DA"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Федеральное казенное учреждение «Дирекция государственного заказчика программ развития морского транспорта» (далее – ФКУ «Дирекция госзаказчика», заявитель, Учреждение) обратилось в Арбитражный суд города Москвы с заявлением к Управлению о признании недействительным представления от 13.07.2022 </w:t>
            </w:r>
            <w:r w:rsidRPr="004E18DA">
              <w:rPr>
                <w:rFonts w:ascii="Times New Roman" w:hAnsi="Times New Roman" w:cs="Times New Roman"/>
                <w:sz w:val="28"/>
                <w:szCs w:val="28"/>
              </w:rPr>
              <w:br/>
              <w:t>№ 93-12-13/66. В заявлении об оспаривании представления Учреждение привело доводы о несогласии с нарушениями, отраженным в пунктах 3, 6, 7, 11, 12, 13 представления, по остальным нарушениям не приведено доводы о несогласии, при этом просило отменить представление в полном объеме.</w:t>
            </w: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Пункт 3 представления.</w:t>
            </w: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Учреждением приняты и оплачены работы по строительству грузопассажирского судна класса РС:  KM Ice2(hull, power) [2] AUT3 BWM (T) CONT (deck, cargo hold № 2) Passenger ship, назначение и технические характеристики которого не соответствуют предусмотренному условиям контракта Классу судна РС: KM Ice2 [2] АUT3 Passenger ship.</w:t>
            </w: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Заявитель сослался на то, что формальное отличие класса судна, указанного в документах о приемке выполненных работ и в контракте, не влечет возникновения убытков у государственного заказчика, не влияет на процесс строительства судна, не несет и не порождает каких-либо иных негативных последствий, в связи с чем нарушение в данной части отсутствует. </w:t>
            </w: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lastRenderedPageBreak/>
              <w:t>По мнению Управления, в соответствии с пунктом 3.1 государственного контракта от 19.08.2019 № КИ-349-2019 Генподрядчик должен разработать техническую документацию и произвести работы по строительству судна в соответствии с классом РС: KM Ice2 [2] AUT3 Passenger ship.</w:t>
            </w: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При этом, проверкой установлено несоответствие разработанной проектной документации судна в постройке (ПДСП) условиям государственного контракта от 19.08.2019 № КИ-349-2019, так как согласно пункту 1.4 приложения № 1 к Договору от 27.09.2019 № 45 «Техническое задание» определен иной класс судна PC: KM Ice2(hull, power) [2] AUT3 BWM(T)CONT (deck, cargo hold № 2) Passenger ship.</w:t>
            </w: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ФКУ «Дирекция госзаказчика» приняты и оплачены работы по строительству грузопассажирского судна назначение и технические характеристики которого не соответствуют предусмотренным условиям Контракта.</w:t>
            </w:r>
          </w:p>
          <w:p w:rsidR="007A1C13" w:rsidRPr="004E18DA" w:rsidRDefault="007F363B"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Пункт 6 представления.</w:t>
            </w:r>
          </w:p>
          <w:p w:rsidR="007F363B" w:rsidRPr="004E18DA" w:rsidRDefault="007F363B" w:rsidP="007A1C13">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ФКУ «Дирекция госзаказчика» допущено несоблюдение требования о применении мер ответственности в случае нарушения генеральными подрядчиками условий контрактов, выразившиеся в ненаправлении требования об уплате пени в общем размере 38 301 760,57 рубля.</w:t>
            </w:r>
          </w:p>
          <w:p w:rsidR="007F363B" w:rsidRPr="004E18DA" w:rsidRDefault="007F363B" w:rsidP="007F363B">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Заявитель ссылается на то, что поскольку ни в одном из перечисленных Управлением случаев просрочки исполнения обязательств генеральными подрядчиками срок исковой давности не наступил, вменяемое нарушение является незаконным и необоснованным.</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По мнению Управления, в соответствии с пунктом 2 статьи 160.1 Бюджетного кодекса Российской Федерации в рамках исполнения бюджетных полномочий администратора доходов бюджета ФКУ «Дирекция госзаказчика»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В соответствии с пунктом 2.2.1. Соглашения от 10.02.2014 № СГ-10 ФКУ «Дирекция госзаказчика» несет ответственность за реализацию инвестиционных проектов и обязано, в том числе в целях своевременного исполнения обязательств по строительству морских судов, согласно пункту 2.2.11. Соглашения от 10.02.2014 </w:t>
            </w:r>
            <w:r w:rsidRPr="004E18DA">
              <w:rPr>
                <w:rFonts w:ascii="Times New Roman" w:hAnsi="Times New Roman" w:cs="Times New Roman"/>
                <w:sz w:val="28"/>
                <w:szCs w:val="28"/>
              </w:rPr>
              <w:lastRenderedPageBreak/>
              <w:t>№ СГ-10 своевременно предъявлять подрядным организациям претензии за невыполнение и ненадлежащее выполнение договорных обязательств.</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Учитывая тот факт, что сроки выполнения этапов и государственных контрактов в целом от 26.07.2019 № КИ-347-2019 (срок исполнения 15.06.2022, от 19.08.2019 № КИ-349-2019 (срок исполнения (срок исполнения 30.08.2022), от 29.11.2019 № КИ-350-2019 (срок исполнения 01.09.2021), от 28.12.2018 № КИ-344-2018 (срок исполнения 01.12.2021) значительно меньше срока исковой давности (три года), направление требования о применении мер ответственности в случае нарушения поставщиками условий контрактов, за пределами сроков их исполнения государственных контрактов, не является эффективной мерой, способствующей указать Генподрядчику на необходимость своевременного исполнения обязательств по Контракту. </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Пункт 7 представления.</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Учреждением не обеспечено отражение в бюджетном учете установленной по результатам проведенного в целях исполнения требований представления Московской межрегиональной транспортной прокуратуры от 09.04.2014 № 7-06-14 служебного расследования по факту нарушений сотрудниками Учреждения действующего законодательства при исполнении государственных контрактов на разработку проектной документации от 18.04.2011 № 253/17-ГК/11, от 13.08.2012 № 268/21-ГК-12, от 13.08.2012 № 267/22-ГК/12, от 26.11.2012 № 273/43-ГК/12 суммы дебиторской задолженности в размере 126 431 000,00 рублей, сформированной в связи с невыполнением ЗАО «ОПК «ТрансГидроПроект» проектных работ, принятых и оплаченных вследствие действия (бездействия) должностных лиц Учреждения при отсутствии подтверждающих документов.</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Заявитель ссылается на то, что в производстве Московского межрегионального следственного управления на транспорте Следственного комитета Российской Федерации находится уголовное дело по факту хищения мошенническим путем средств федерального бюджета при исполнении государственного контракта № 253/17-ГК, документы, изъятые в ходе следственных действий, не могут быть возвращены.</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ФКУ «Дирекция госзаказчика» также ссылается на экспертное заключение ООО «Интераудит» от 27.08.2022 </w:t>
            </w:r>
            <w:r w:rsidRPr="004E18DA">
              <w:rPr>
                <w:rFonts w:ascii="Times New Roman" w:hAnsi="Times New Roman" w:cs="Times New Roman"/>
                <w:sz w:val="28"/>
                <w:szCs w:val="28"/>
              </w:rPr>
              <w:lastRenderedPageBreak/>
              <w:t xml:space="preserve">№ 52, согласно которому до момента возращения следственными органами изъятых документов подтвердить или опровергнуть достоверность нарушения, выразившегося в необеспечении отражения суммы дебиторской задолженности в размере 130 431 000,00 руб. не представляется возможным. Кроме того, согласно заключению, проверка соблюдения законодательства проводилась не на основании первичных учетных документов, которые были изъяты следственными органами, а по результатам проведенного в 2014 году служебного расследования. </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Позиция Управления. В 2014 году ФКУ «Дирекция госзаказчика» проведено служебное расследование по факту нарушений сотрудниками Учреждения действующего законодательства при исполнении государственных контрактов на разработку проектной документации. Служебное расследование проведено в целях исполнения требований представления Московской межрегиональной транспортной прокуратуры от 09.04.2014 № 7-06-14, вынесенного по результатам проведения проверки соблюдения действующего законодательства при исполнении государственных контрактов на разработку проектных документаций от 18.04.2011 № 253/17-ГК/11, от 13.08.2012 № 267/22-ГК/12, от 13.08.2012 № 268/21-ГК/12, от 26.11.2012 № 273/43-ГК/12, заключенных между ФКУ «Дирекция госзаказчика» и ЗАО «ОПК «ТрансГидроПроект».</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Согласно Заключению о результатах служебного расследования от 06.05.2014, проведенного Учреждением во исполнение Представления об устранении нарушений действующего законодательства Московской межрегиональной транспортной прокуратурой от 09.04.2014 № 7-06-14.</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 xml:space="preserve">Управлением в ходе проверки установлено, что претензии о выплате штрафа за неисполнение вышеперечисленных государственных контрактов </w:t>
            </w:r>
            <w:r w:rsidRPr="004E18DA">
              <w:rPr>
                <w:rFonts w:ascii="Times New Roman" w:hAnsi="Times New Roman" w:cs="Times New Roman"/>
                <w:sz w:val="28"/>
                <w:szCs w:val="28"/>
              </w:rPr>
              <w:br/>
              <w:t xml:space="preserve">ФКУ «Дирекция госзаказчика», либо возмещение средств федерального бюджета за невыполненные объемы работ, в адрес ЗАО «ОПК «ТрансГидроПроект» не направлялись и что в 2014 году не обеспечено отражение в бюджетном учете суммы принятых и оплаченных вследствие действия (бездействия) должностных лиц Учреждения проектных работ при отсутствии подтверждающих документов в размере 126 431 000,00 рублей, установленной по </w:t>
            </w:r>
            <w:r w:rsidRPr="004E18DA">
              <w:rPr>
                <w:rFonts w:ascii="Times New Roman" w:hAnsi="Times New Roman" w:cs="Times New Roman"/>
                <w:sz w:val="28"/>
                <w:szCs w:val="28"/>
              </w:rPr>
              <w:lastRenderedPageBreak/>
              <w:t>результатам проведенного служебного расследования по факту нарушений сотрудниками Учреждения действующего законодательства при исполнении вышеуказанных государственных контрактов на разработку проектной документации.</w:t>
            </w:r>
          </w:p>
          <w:p w:rsidR="00B36E21" w:rsidRPr="004E18DA" w:rsidRDefault="00B36E21" w:rsidP="007F363B">
            <w:pPr>
              <w:autoSpaceDE w:val="0"/>
              <w:autoSpaceDN w:val="0"/>
              <w:adjustRightInd w:val="0"/>
              <w:spacing w:after="0" w:line="240" w:lineRule="auto"/>
              <w:ind w:firstLine="283"/>
              <w:jc w:val="both"/>
              <w:rPr>
                <w:rFonts w:ascii="Times New Roman" w:hAnsi="Times New Roman" w:cs="Times New Roman"/>
                <w:sz w:val="28"/>
                <w:szCs w:val="28"/>
              </w:rPr>
            </w:pPr>
          </w:p>
          <w:p w:rsidR="007F363B" w:rsidRPr="004E18DA" w:rsidRDefault="007F363B" w:rsidP="007A1C13">
            <w:pPr>
              <w:autoSpaceDE w:val="0"/>
              <w:autoSpaceDN w:val="0"/>
              <w:adjustRightInd w:val="0"/>
              <w:spacing w:after="0" w:line="240" w:lineRule="auto"/>
              <w:ind w:firstLine="283"/>
              <w:jc w:val="both"/>
              <w:rPr>
                <w:rFonts w:ascii="Times New Roman" w:hAnsi="Times New Roman" w:cs="Times New Roman"/>
                <w:sz w:val="28"/>
                <w:szCs w:val="28"/>
              </w:rPr>
            </w:pP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p>
          <w:p w:rsidR="007A1C13" w:rsidRPr="004E18DA" w:rsidRDefault="007A1C13" w:rsidP="007A1C13">
            <w:pPr>
              <w:autoSpaceDE w:val="0"/>
              <w:autoSpaceDN w:val="0"/>
              <w:adjustRightInd w:val="0"/>
              <w:spacing w:after="0" w:line="240" w:lineRule="auto"/>
              <w:ind w:firstLine="283"/>
              <w:jc w:val="both"/>
              <w:rPr>
                <w:rFonts w:ascii="Times New Roman" w:hAnsi="Times New Roman" w:cs="Times New Roman"/>
                <w:sz w:val="28"/>
                <w:szCs w:val="28"/>
              </w:rPr>
            </w:pPr>
          </w:p>
          <w:p w:rsidR="00184982" w:rsidRPr="004E18DA" w:rsidRDefault="00184982" w:rsidP="007A1C13">
            <w:pPr>
              <w:pStyle w:val="Default"/>
              <w:ind w:firstLine="283"/>
              <w:jc w:val="both"/>
              <w:rPr>
                <w:color w:val="auto"/>
                <w:sz w:val="28"/>
                <w:szCs w:val="28"/>
              </w:rPr>
            </w:pPr>
            <w:r w:rsidRPr="004E18DA">
              <w:rPr>
                <w:color w:val="auto"/>
                <w:sz w:val="28"/>
                <w:szCs w:val="28"/>
              </w:rPr>
              <w:t xml:space="preserve"> </w:t>
            </w:r>
          </w:p>
        </w:tc>
      </w:tr>
      <w:tr w:rsidR="00184982" w:rsidRPr="004E18DA" w:rsidTr="00094DBB">
        <w:tc>
          <w:tcPr>
            <w:tcW w:w="3118" w:type="dxa"/>
            <w:tcBorders>
              <w:top w:val="single" w:sz="4" w:space="0" w:color="auto"/>
              <w:left w:val="single" w:sz="4" w:space="0" w:color="auto"/>
              <w:bottom w:val="single" w:sz="4" w:space="0" w:color="auto"/>
              <w:right w:val="single" w:sz="4" w:space="0" w:color="auto"/>
            </w:tcBorders>
          </w:tcPr>
          <w:p w:rsidR="00184982" w:rsidRPr="004E18DA"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184982" w:rsidRPr="004E18DA"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w:t>
            </w:r>
          </w:p>
        </w:tc>
      </w:tr>
      <w:tr w:rsidR="00184982" w:rsidRPr="004E18DA" w:rsidTr="00094DBB">
        <w:tc>
          <w:tcPr>
            <w:tcW w:w="3118" w:type="dxa"/>
            <w:tcBorders>
              <w:top w:val="single" w:sz="4" w:space="0" w:color="auto"/>
              <w:left w:val="single" w:sz="4" w:space="0" w:color="auto"/>
              <w:bottom w:val="single" w:sz="4" w:space="0" w:color="auto"/>
              <w:right w:val="single" w:sz="4" w:space="0" w:color="auto"/>
            </w:tcBorders>
          </w:tcPr>
          <w:p w:rsidR="00184982" w:rsidRPr="004E18DA"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184982" w:rsidRPr="004E18DA" w:rsidRDefault="00184982" w:rsidP="00B36E21">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Дело № А40-</w:t>
            </w:r>
            <w:r w:rsidR="00B36E21" w:rsidRPr="004E18DA">
              <w:rPr>
                <w:rFonts w:ascii="Times New Roman" w:hAnsi="Times New Roman" w:cs="Times New Roman"/>
                <w:sz w:val="28"/>
                <w:szCs w:val="28"/>
              </w:rPr>
              <w:t>222070/2022</w:t>
            </w:r>
            <w:r w:rsidRPr="004E18DA">
              <w:rPr>
                <w:rFonts w:ascii="Times New Roman" w:hAnsi="Times New Roman" w:cs="Times New Roman"/>
                <w:sz w:val="28"/>
                <w:szCs w:val="28"/>
              </w:rPr>
              <w:t xml:space="preserve">, решение Арбитражного суда города Москвы от </w:t>
            </w:r>
            <w:r w:rsidR="00B36E21" w:rsidRPr="004E18DA">
              <w:rPr>
                <w:rFonts w:ascii="Times New Roman" w:hAnsi="Times New Roman" w:cs="Times New Roman"/>
                <w:sz w:val="28"/>
                <w:szCs w:val="28"/>
              </w:rPr>
              <w:t>20.01.2023.</w:t>
            </w:r>
            <w:r w:rsidRPr="004E18DA">
              <w:rPr>
                <w:rFonts w:ascii="Times New Roman" w:hAnsi="Times New Roman" w:cs="Times New Roman"/>
                <w:sz w:val="28"/>
                <w:szCs w:val="28"/>
              </w:rPr>
              <w:t xml:space="preserve"> </w:t>
            </w:r>
          </w:p>
        </w:tc>
      </w:tr>
      <w:tr w:rsidR="00184982" w:rsidRPr="004E18DA" w:rsidTr="00094DBB">
        <w:tc>
          <w:tcPr>
            <w:tcW w:w="3118" w:type="dxa"/>
            <w:tcBorders>
              <w:top w:val="single" w:sz="4" w:space="0" w:color="auto"/>
              <w:left w:val="single" w:sz="4" w:space="0" w:color="auto"/>
              <w:bottom w:val="single" w:sz="4" w:space="0" w:color="auto"/>
              <w:right w:val="single" w:sz="4" w:space="0" w:color="auto"/>
            </w:tcBorders>
          </w:tcPr>
          <w:p w:rsidR="00184982" w:rsidRPr="004E18DA"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По пункту 3 представления. Судом установлено несоответствие разработанной проектной документации судна в постройке (ПДСП) условиям государственного контракта от 19.08.2019 № КИ-349-2019, так как согласно пункту 1.4 приложения № 1 к Договору от 27.09.2019 № 45 «Техническое задание» определен иной класс судна PC: KM Ice2(hull, power) [2] AUT3 BWM(T)CONT (deck, cargo hold № 2) Passenger ship.</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ФКУ «Дирекция госзаказчика» приняты и оплачены работы по строительству грузопассажирского судна назначение и технические характеристики которого не соответствуют предусмотренным условиям Контракта.</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По пункту 6 представления. ФКУ «Дирекция госзаказчика», допущено несоблюдение требования о применении мер ответственности в случае нарушения поставщиками условий контрактов, выразившиеся в не направлении требования об уплате пени.</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lastRenderedPageBreak/>
              <w:t>По пункту 7 представления. ФКУ «Дирекция госзаказчика» в 2014 году не обеспечено отражение в бюджетном учете суммы принятых и оплаченных вследствие действия (бездействия) должностных лиц Учреждения проектных работ при отсутствии подтверждающих документов в размере 126 431 000,00 рублей, установленной по результатам проведенного служебного расследования по факту нарушений сотрудниками Учреждения действующего законодательства при исполнении вышеуказанных государственных контрактов на разработку проектной документации.</w:t>
            </w:r>
          </w:p>
          <w:p w:rsidR="00B36E21" w:rsidRPr="004E18DA" w:rsidRDefault="00B36E21" w:rsidP="00B36E21">
            <w:pPr>
              <w:autoSpaceDE w:val="0"/>
              <w:autoSpaceDN w:val="0"/>
              <w:adjustRightInd w:val="0"/>
              <w:spacing w:after="0" w:line="240" w:lineRule="auto"/>
              <w:ind w:firstLine="283"/>
              <w:jc w:val="both"/>
              <w:rPr>
                <w:rFonts w:ascii="Times New Roman" w:hAnsi="Times New Roman" w:cs="Times New Roman"/>
                <w:sz w:val="28"/>
                <w:szCs w:val="28"/>
              </w:rPr>
            </w:pPr>
            <w:r w:rsidRPr="004E18DA">
              <w:rPr>
                <w:rFonts w:ascii="Times New Roman" w:hAnsi="Times New Roman" w:cs="Times New Roman"/>
                <w:sz w:val="28"/>
                <w:szCs w:val="28"/>
              </w:rPr>
              <w:t>По пунктам 11, 12 и 13 представления. В результате необеспечения контроля Учреждением не обеспечена полнота и своевременность получения доходов федерального бюджета от арендной платы за передачу в возмездное пользование государственного имущества на общую сумму 3 166 921,76 рубля.</w:t>
            </w:r>
          </w:p>
          <w:p w:rsidR="00184982" w:rsidRPr="004E18DA" w:rsidRDefault="00B36E21" w:rsidP="00B36E21">
            <w:pPr>
              <w:autoSpaceDE w:val="0"/>
              <w:autoSpaceDN w:val="0"/>
              <w:adjustRightInd w:val="0"/>
              <w:spacing w:after="0" w:line="240" w:lineRule="auto"/>
              <w:ind w:firstLine="283"/>
              <w:jc w:val="both"/>
              <w:rPr>
                <w:rFonts w:ascii="Times New Roman" w:hAnsi="Times New Roman" w:cs="Times New Roman"/>
                <w:b/>
                <w:sz w:val="28"/>
                <w:szCs w:val="28"/>
              </w:rPr>
            </w:pPr>
            <w:r w:rsidRPr="004E18DA">
              <w:rPr>
                <w:rFonts w:ascii="Times New Roman" w:hAnsi="Times New Roman" w:cs="Times New Roman"/>
                <w:sz w:val="28"/>
                <w:szCs w:val="28"/>
              </w:rPr>
              <w:t>Судом проверены все доводы Заявителя, однако, они не опровергают установленные судом обстоятельства дела и не могут являться основанием для удовлетворения заявленных требований.</w:t>
            </w:r>
          </w:p>
        </w:tc>
      </w:tr>
      <w:tr w:rsidR="00184982" w:rsidRPr="004E18DA" w:rsidTr="00094DBB">
        <w:tc>
          <w:tcPr>
            <w:tcW w:w="3118" w:type="dxa"/>
            <w:tcBorders>
              <w:top w:val="single" w:sz="4" w:space="0" w:color="auto"/>
              <w:left w:val="single" w:sz="4" w:space="0" w:color="auto"/>
              <w:bottom w:val="single" w:sz="4" w:space="0" w:color="auto"/>
              <w:right w:val="single" w:sz="4" w:space="0" w:color="auto"/>
            </w:tcBorders>
          </w:tcPr>
          <w:p w:rsidR="00184982" w:rsidRPr="004E18DA"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lastRenderedPageBreak/>
              <w:t>5. Номер и дата дела в ТОФК (ФКУ "ЦОКР")</w:t>
            </w:r>
          </w:p>
        </w:tc>
        <w:tc>
          <w:tcPr>
            <w:tcW w:w="7083" w:type="dxa"/>
            <w:tcBorders>
              <w:top w:val="single" w:sz="4" w:space="0" w:color="auto"/>
              <w:left w:val="single" w:sz="4" w:space="0" w:color="auto"/>
              <w:bottom w:val="single" w:sz="4" w:space="0" w:color="auto"/>
              <w:right w:val="single" w:sz="4" w:space="0" w:color="auto"/>
            </w:tcBorders>
          </w:tcPr>
          <w:p w:rsidR="00184982" w:rsidRPr="004E18DA" w:rsidRDefault="00184982" w:rsidP="00B36E21">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 xml:space="preserve">Дело № </w:t>
            </w:r>
            <w:hyperlink r:id="rId7" w:anchor="/lawsuits/appeal/view/125683714/main" w:tooltip="Открыть судебное дело на просмотр" w:history="1">
              <w:r w:rsidR="00B36E21" w:rsidRPr="004E18DA">
                <w:rPr>
                  <w:rFonts w:ascii="Times New Roman" w:hAnsi="Times New Roman" w:cs="Times New Roman"/>
                  <w:sz w:val="28"/>
                  <w:szCs w:val="28"/>
                </w:rPr>
                <w:t>21-13/34-2022</w:t>
              </w:r>
            </w:hyperlink>
            <w:r w:rsidR="00B36E21" w:rsidRPr="004E18DA">
              <w:rPr>
                <w:rFonts w:ascii="Times New Roman" w:hAnsi="Times New Roman" w:cs="Times New Roman"/>
                <w:sz w:val="28"/>
                <w:szCs w:val="28"/>
              </w:rPr>
              <w:t xml:space="preserve"> </w:t>
            </w:r>
            <w:r w:rsidRPr="004E18DA">
              <w:rPr>
                <w:rFonts w:ascii="Times New Roman" w:hAnsi="Times New Roman" w:cs="Times New Roman"/>
                <w:sz w:val="28"/>
                <w:szCs w:val="28"/>
              </w:rPr>
              <w:t xml:space="preserve">от </w:t>
            </w:r>
            <w:r w:rsidR="00B36E21" w:rsidRPr="004E18DA">
              <w:rPr>
                <w:rFonts w:ascii="Times New Roman" w:hAnsi="Times New Roman" w:cs="Times New Roman"/>
                <w:sz w:val="28"/>
                <w:szCs w:val="28"/>
              </w:rPr>
              <w:t>21.10</w:t>
            </w:r>
            <w:r w:rsidRPr="004E18DA">
              <w:rPr>
                <w:rFonts w:ascii="Times New Roman" w:hAnsi="Times New Roman" w:cs="Times New Roman"/>
                <w:sz w:val="28"/>
                <w:szCs w:val="28"/>
              </w:rPr>
              <w:t>.2022</w:t>
            </w:r>
          </w:p>
        </w:tc>
      </w:tr>
    </w:tbl>
    <w:p w:rsidR="00D84D4C"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893F08" w:rsidRPr="00893F08" w:rsidTr="000065D0">
        <w:tc>
          <w:tcPr>
            <w:tcW w:w="3118" w:type="dxa"/>
            <w:tcBorders>
              <w:top w:val="single" w:sz="4" w:space="0" w:color="auto"/>
              <w:left w:val="single" w:sz="4" w:space="0" w:color="auto"/>
              <w:bottom w:val="single" w:sz="4" w:space="0" w:color="auto"/>
              <w:right w:val="single" w:sz="4" w:space="0" w:color="auto"/>
            </w:tcBorders>
          </w:tcPr>
          <w:p w:rsidR="00893F08" w:rsidRPr="00893F08" w:rsidRDefault="00893F08" w:rsidP="000065D0">
            <w:pPr>
              <w:autoSpaceDE w:val="0"/>
              <w:autoSpaceDN w:val="0"/>
              <w:adjustRightInd w:val="0"/>
              <w:spacing w:after="0" w:line="240" w:lineRule="auto"/>
              <w:ind w:firstLine="227"/>
              <w:jc w:val="both"/>
              <w:rPr>
                <w:rFonts w:ascii="Times New Roman" w:hAnsi="Times New Roman" w:cs="Times New Roman"/>
                <w:sz w:val="28"/>
                <w:szCs w:val="28"/>
                <w:highlight w:val="yellow"/>
              </w:rPr>
            </w:pPr>
            <w:r w:rsidRPr="003015F7">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893F08" w:rsidRDefault="00893F08" w:rsidP="00893F08">
            <w:pPr>
              <w:tabs>
                <w:tab w:val="left" w:pos="8364"/>
              </w:tabs>
              <w:spacing w:after="0" w:line="240" w:lineRule="auto"/>
              <w:ind w:firstLine="217"/>
              <w:jc w:val="both"/>
              <w:rPr>
                <w:rFonts w:ascii="Times New Roman" w:hAnsi="Times New Roman"/>
                <w:sz w:val="28"/>
                <w:szCs w:val="28"/>
              </w:rPr>
            </w:pPr>
            <w:r w:rsidRPr="00BD62BB">
              <w:rPr>
                <w:rFonts w:ascii="Times New Roman" w:hAnsi="Times New Roman"/>
                <w:sz w:val="28"/>
                <w:szCs w:val="28"/>
              </w:rPr>
              <w:t>Федерально</w:t>
            </w:r>
            <w:r>
              <w:rPr>
                <w:rFonts w:ascii="Times New Roman" w:hAnsi="Times New Roman"/>
                <w:sz w:val="28"/>
                <w:szCs w:val="28"/>
              </w:rPr>
              <w:t>е</w:t>
            </w:r>
            <w:r w:rsidRPr="00BD62BB">
              <w:rPr>
                <w:rFonts w:ascii="Times New Roman" w:hAnsi="Times New Roman"/>
                <w:sz w:val="28"/>
                <w:szCs w:val="28"/>
              </w:rPr>
              <w:t xml:space="preserve"> государственно</w:t>
            </w:r>
            <w:r>
              <w:rPr>
                <w:rFonts w:ascii="Times New Roman" w:hAnsi="Times New Roman"/>
                <w:sz w:val="28"/>
                <w:szCs w:val="28"/>
              </w:rPr>
              <w:t>е</w:t>
            </w:r>
            <w:r w:rsidRPr="00BD62BB">
              <w:rPr>
                <w:rFonts w:ascii="Times New Roman" w:hAnsi="Times New Roman"/>
                <w:sz w:val="28"/>
                <w:szCs w:val="28"/>
              </w:rPr>
              <w:t xml:space="preserve"> бюджетно</w:t>
            </w:r>
            <w:r>
              <w:rPr>
                <w:rFonts w:ascii="Times New Roman" w:hAnsi="Times New Roman"/>
                <w:sz w:val="28"/>
                <w:szCs w:val="28"/>
              </w:rPr>
              <w:t>е</w:t>
            </w:r>
            <w:r w:rsidRPr="00BD62BB">
              <w:rPr>
                <w:rFonts w:ascii="Times New Roman" w:hAnsi="Times New Roman"/>
                <w:sz w:val="28"/>
                <w:szCs w:val="28"/>
              </w:rPr>
              <w:t xml:space="preserve"> учреждени</w:t>
            </w:r>
            <w:r>
              <w:rPr>
                <w:rFonts w:ascii="Times New Roman" w:hAnsi="Times New Roman"/>
                <w:sz w:val="28"/>
                <w:szCs w:val="28"/>
              </w:rPr>
              <w:t>е</w:t>
            </w:r>
            <w:r w:rsidRPr="00BD62BB">
              <w:rPr>
                <w:rFonts w:ascii="Times New Roman" w:hAnsi="Times New Roman"/>
                <w:sz w:val="28"/>
                <w:szCs w:val="28"/>
              </w:rPr>
              <w:t xml:space="preserve"> науки Физический институт им. П.Н. Лебедева Российской академии наук (далее – ФИАН, </w:t>
            </w:r>
            <w:r>
              <w:rPr>
                <w:rFonts w:ascii="Times New Roman" w:hAnsi="Times New Roman"/>
                <w:sz w:val="28"/>
                <w:szCs w:val="28"/>
              </w:rPr>
              <w:t xml:space="preserve">Институт, </w:t>
            </w:r>
            <w:r w:rsidRPr="00BD62BB">
              <w:rPr>
                <w:rFonts w:ascii="Times New Roman" w:hAnsi="Times New Roman"/>
                <w:sz w:val="28"/>
                <w:szCs w:val="28"/>
              </w:rPr>
              <w:t xml:space="preserve">заявитель) к </w:t>
            </w:r>
            <w:r>
              <w:rPr>
                <w:rFonts w:ascii="Times New Roman" w:hAnsi="Times New Roman"/>
                <w:sz w:val="28"/>
                <w:szCs w:val="28"/>
              </w:rPr>
              <w:t>Управлению</w:t>
            </w:r>
            <w:r w:rsidRPr="00BD62BB">
              <w:rPr>
                <w:rFonts w:ascii="Times New Roman" w:hAnsi="Times New Roman"/>
                <w:sz w:val="28"/>
                <w:szCs w:val="28"/>
              </w:rPr>
              <w:t xml:space="preserve"> о признании недействительным пункта 3 мотивировочной</w:t>
            </w:r>
            <w:r w:rsidRPr="00F755D7">
              <w:rPr>
                <w:rFonts w:ascii="Times New Roman" w:hAnsi="Times New Roman"/>
                <w:sz w:val="28"/>
                <w:szCs w:val="28"/>
              </w:rPr>
              <w:t xml:space="preserve"> </w:t>
            </w:r>
            <w:r>
              <w:rPr>
                <w:rFonts w:ascii="Times New Roman" w:hAnsi="Times New Roman"/>
                <w:sz w:val="28"/>
                <w:szCs w:val="28"/>
              </w:rPr>
              <w:t>части</w:t>
            </w:r>
            <w:r w:rsidRPr="00BD62BB">
              <w:rPr>
                <w:rFonts w:ascii="Times New Roman" w:hAnsi="Times New Roman"/>
                <w:sz w:val="28"/>
                <w:szCs w:val="28"/>
              </w:rPr>
              <w:t xml:space="preserve"> и пункта 1 заключительной части представления Управления от 09.06.2022 № 93-08-13/17</w:t>
            </w:r>
            <w:r>
              <w:rPr>
                <w:rFonts w:ascii="Times New Roman" w:hAnsi="Times New Roman"/>
                <w:sz w:val="28"/>
                <w:szCs w:val="28"/>
              </w:rPr>
              <w:t xml:space="preserve">, в соответствии с которым </w:t>
            </w:r>
            <w:r w:rsidRPr="004C25EE">
              <w:rPr>
                <w:rFonts w:ascii="Times New Roman" w:hAnsi="Times New Roman"/>
                <w:sz w:val="28"/>
                <w:szCs w:val="28"/>
              </w:rPr>
              <w:t xml:space="preserve">в нарушение абзаца четырнадцатого пункта 9 Положения об установлении систем оплаты труда работников федеральных бюджетных, автономных и казенных учреждений, утвержденного постановлением Правительства Российской Федерации от 05.08.2008 </w:t>
            </w:r>
            <w:r>
              <w:rPr>
                <w:rFonts w:ascii="Times New Roman" w:hAnsi="Times New Roman"/>
                <w:sz w:val="28"/>
                <w:szCs w:val="28"/>
              </w:rPr>
              <w:br/>
            </w:r>
            <w:r w:rsidRPr="004C25EE">
              <w:rPr>
                <w:rFonts w:ascii="Times New Roman" w:hAnsi="Times New Roman"/>
                <w:sz w:val="28"/>
                <w:szCs w:val="28"/>
              </w:rPr>
              <w:t xml:space="preserve">№ 583, пункта 18 Примерного положения об оплате труда работников федеральных бюджетных учреждений, подведомственных Министерству образования и науки Российской Федерации, по виду экономической деятельности «Научные исследования и разработки», </w:t>
            </w:r>
            <w:r w:rsidRPr="004C25EE">
              <w:rPr>
                <w:rFonts w:ascii="Times New Roman" w:hAnsi="Times New Roman"/>
                <w:sz w:val="28"/>
                <w:szCs w:val="28"/>
              </w:rPr>
              <w:lastRenderedPageBreak/>
              <w:t>утвержденного приказом Минобрнауки России от 29.09.2008 № 271, пункта 2.1.4 Положения об оплате труда работников ФИАН, утвержденного приказом ФИАН от 09.01.2019 № 1, пункта 19 Трудового договора от 08.06.2015 № 40, заключенного с ФАНО, в 2019 году выплачена надбавка директору ФИАН без решения органа государственной власти, выступающего от имени учредителя/работодателя - Минобрнауки России в размере 900 000,00 рублей.</w:t>
            </w:r>
          </w:p>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ФИАН указало, что решение Минобрнауки России о выплате надбавке директору было принято и доведено Министерством, выплата произведена в установленном порядке.</w:t>
            </w:r>
          </w:p>
          <w:p w:rsid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 xml:space="preserve">Управлением в ходе контрольного мероприятия установлено, что </w:t>
            </w:r>
            <w:r w:rsidRPr="00211EFC">
              <w:rPr>
                <w:rFonts w:ascii="Times New Roman" w:hAnsi="Times New Roman"/>
                <w:sz w:val="28"/>
                <w:szCs w:val="28"/>
              </w:rPr>
              <w:t>ФИАН в 2019 году выплачена надбавка директору без решения органа государственной власти, выступающего от имени учредителя/работодателя - Минобрнауки России</w:t>
            </w:r>
            <w:r>
              <w:rPr>
                <w:rFonts w:ascii="Times New Roman" w:hAnsi="Times New Roman"/>
                <w:sz w:val="28"/>
                <w:szCs w:val="28"/>
              </w:rPr>
              <w:t xml:space="preserve">. </w:t>
            </w:r>
          </w:p>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4E2C49">
              <w:rPr>
                <w:rFonts w:ascii="Times New Roman" w:hAnsi="Times New Roman"/>
                <w:sz w:val="28"/>
                <w:szCs w:val="28"/>
                <w:highlight w:val="yellow"/>
              </w:rPr>
              <w:t xml:space="preserve">Приказ ФИАН от 21.11.2019 № 1244-ф о премировании Н.Н. Колачевского подписан помощником директора по финансово-экономическим вопросам и инновационной деятельности ФИАН </w:t>
            </w:r>
            <w:r w:rsidRPr="004E2C49">
              <w:rPr>
                <w:rFonts w:ascii="Times New Roman" w:hAnsi="Times New Roman"/>
                <w:sz w:val="28"/>
                <w:szCs w:val="28"/>
                <w:highlight w:val="yellow"/>
              </w:rPr>
              <w:br/>
              <w:t>В.Н. Неволиным</w:t>
            </w:r>
            <w:r w:rsidRPr="00893F08">
              <w:rPr>
                <w:rFonts w:ascii="Times New Roman" w:hAnsi="Times New Roman"/>
                <w:sz w:val="28"/>
                <w:szCs w:val="28"/>
              </w:rPr>
              <w:t>, который не наделен  полномочиями по распоряжению денежными средствами ФИАН, равно как и по изданию соответствующих приказов, в том числе по назначению (осуществлению) выплат работникам ФИАН, без согласования с директором ФИАН.</w:t>
            </w:r>
          </w:p>
        </w:tc>
      </w:tr>
      <w:tr w:rsidR="00893F08" w:rsidRPr="00893F08" w:rsidTr="000065D0">
        <w:tc>
          <w:tcPr>
            <w:tcW w:w="3118" w:type="dxa"/>
            <w:tcBorders>
              <w:top w:val="single" w:sz="4" w:space="0" w:color="auto"/>
              <w:left w:val="single" w:sz="4" w:space="0" w:color="auto"/>
              <w:bottom w:val="single" w:sz="4" w:space="0" w:color="auto"/>
              <w:right w:val="single" w:sz="4" w:space="0" w:color="auto"/>
            </w:tcBorders>
          </w:tcPr>
          <w:p w:rsidR="00893F08" w:rsidRPr="00893F08" w:rsidRDefault="00893F08" w:rsidP="000065D0">
            <w:pPr>
              <w:autoSpaceDE w:val="0"/>
              <w:autoSpaceDN w:val="0"/>
              <w:adjustRightInd w:val="0"/>
              <w:spacing w:after="0" w:line="240" w:lineRule="auto"/>
              <w:ind w:firstLine="227"/>
              <w:jc w:val="both"/>
              <w:rPr>
                <w:rFonts w:ascii="Times New Roman" w:hAnsi="Times New Roman" w:cs="Times New Roman"/>
                <w:sz w:val="28"/>
                <w:szCs w:val="28"/>
              </w:rPr>
            </w:pPr>
            <w:r w:rsidRPr="00893F08">
              <w:rPr>
                <w:rFonts w:ascii="Times New Roman" w:hAnsi="Times New Roman" w:cs="Times New Roman"/>
                <w:sz w:val="28"/>
                <w:szCs w:val="28"/>
              </w:rPr>
              <w:lastRenderedPageBreak/>
              <w:t xml:space="preserve">2. Судебные акты </w:t>
            </w:r>
            <w:r w:rsidRPr="00893F08">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893F08" w:rsidRPr="00893F08" w:rsidRDefault="00893F08" w:rsidP="00893F08">
            <w:pPr>
              <w:tabs>
                <w:tab w:val="left" w:pos="8364"/>
              </w:tabs>
              <w:spacing w:after="0" w:line="240" w:lineRule="auto"/>
              <w:ind w:firstLine="217"/>
              <w:jc w:val="both"/>
              <w:rPr>
                <w:rFonts w:ascii="Times New Roman" w:hAnsi="Times New Roman" w:cs="Times New Roman"/>
                <w:sz w:val="28"/>
                <w:szCs w:val="28"/>
              </w:rPr>
            </w:pPr>
            <w:r w:rsidRPr="00893F08">
              <w:rPr>
                <w:rFonts w:ascii="Times New Roman" w:hAnsi="Times New Roman" w:cs="Times New Roman"/>
                <w:sz w:val="28"/>
                <w:szCs w:val="28"/>
              </w:rPr>
              <w:t>-</w:t>
            </w:r>
          </w:p>
        </w:tc>
      </w:tr>
      <w:tr w:rsidR="00893F08" w:rsidRPr="00893F08" w:rsidTr="000065D0">
        <w:trPr>
          <w:trHeight w:val="2143"/>
        </w:trPr>
        <w:tc>
          <w:tcPr>
            <w:tcW w:w="3118" w:type="dxa"/>
            <w:tcBorders>
              <w:top w:val="single" w:sz="4" w:space="0" w:color="auto"/>
              <w:left w:val="single" w:sz="4" w:space="0" w:color="auto"/>
              <w:bottom w:val="single" w:sz="4" w:space="0" w:color="auto"/>
              <w:right w:val="single" w:sz="4" w:space="0" w:color="auto"/>
            </w:tcBorders>
          </w:tcPr>
          <w:p w:rsidR="00893F08" w:rsidRPr="00893F08" w:rsidRDefault="00893F08" w:rsidP="000065D0">
            <w:pPr>
              <w:autoSpaceDE w:val="0"/>
              <w:autoSpaceDN w:val="0"/>
              <w:adjustRightInd w:val="0"/>
              <w:spacing w:after="0" w:line="240" w:lineRule="auto"/>
              <w:ind w:firstLine="227"/>
              <w:jc w:val="both"/>
              <w:rPr>
                <w:rFonts w:ascii="Times New Roman" w:hAnsi="Times New Roman" w:cs="Times New Roman"/>
                <w:sz w:val="28"/>
                <w:szCs w:val="28"/>
              </w:rPr>
            </w:pPr>
            <w:r w:rsidRPr="00893F08">
              <w:rPr>
                <w:rFonts w:ascii="Times New Roman" w:hAnsi="Times New Roman" w:cs="Times New Roman"/>
                <w:sz w:val="28"/>
                <w:szCs w:val="28"/>
              </w:rPr>
              <w:t xml:space="preserve">3. Судебные акты </w:t>
            </w:r>
            <w:r w:rsidRPr="00893F08">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Дело № А40-139197/22.</w:t>
            </w:r>
          </w:p>
          <w:p w:rsidR="00893F08" w:rsidRPr="00893F08" w:rsidRDefault="00893F08" w:rsidP="00893F08">
            <w:pPr>
              <w:autoSpaceDE w:val="0"/>
              <w:autoSpaceDN w:val="0"/>
              <w:adjustRightInd w:val="0"/>
              <w:spacing w:after="0" w:line="240" w:lineRule="auto"/>
              <w:ind w:firstLine="154"/>
              <w:rPr>
                <w:rFonts w:ascii="Times New Roman" w:hAnsi="Times New Roman" w:cs="Times New Roman"/>
                <w:bCs/>
                <w:sz w:val="28"/>
                <w:szCs w:val="28"/>
              </w:rPr>
            </w:pPr>
            <w:r w:rsidRPr="00893F08">
              <w:rPr>
                <w:rFonts w:ascii="Times New Roman" w:hAnsi="Times New Roman"/>
                <w:sz w:val="28"/>
                <w:szCs w:val="28"/>
              </w:rPr>
              <w:t xml:space="preserve">Решение Арбитражного суда города Москвы </w:t>
            </w:r>
            <w:r w:rsidRPr="00893F08">
              <w:rPr>
                <w:rFonts w:ascii="Times New Roman" w:hAnsi="Times New Roman"/>
                <w:sz w:val="28"/>
                <w:szCs w:val="28"/>
              </w:rPr>
              <w:br/>
              <w:t>от 10.11.2022; Постановление Девятого арбитражного апелляционного суда от 14.02.2023 № 09АП-90951/2022.</w:t>
            </w:r>
          </w:p>
        </w:tc>
      </w:tr>
      <w:tr w:rsidR="00893F08" w:rsidRPr="00893F08" w:rsidTr="000065D0">
        <w:tc>
          <w:tcPr>
            <w:tcW w:w="3118" w:type="dxa"/>
            <w:tcBorders>
              <w:top w:val="single" w:sz="4" w:space="0" w:color="auto"/>
              <w:left w:val="single" w:sz="4" w:space="0" w:color="auto"/>
              <w:bottom w:val="single" w:sz="4" w:space="0" w:color="auto"/>
              <w:right w:val="single" w:sz="4" w:space="0" w:color="auto"/>
            </w:tcBorders>
          </w:tcPr>
          <w:p w:rsidR="00893F08" w:rsidRPr="00893F08" w:rsidRDefault="00893F08" w:rsidP="000065D0">
            <w:pPr>
              <w:tabs>
                <w:tab w:val="left" w:pos="8364"/>
              </w:tabs>
              <w:spacing w:after="0" w:line="240" w:lineRule="auto"/>
              <w:ind w:firstLine="217"/>
              <w:jc w:val="both"/>
              <w:rPr>
                <w:rFonts w:ascii="Times New Roman" w:hAnsi="Times New Roman"/>
                <w:sz w:val="28"/>
                <w:szCs w:val="28"/>
                <w:highlight w:val="yellow"/>
              </w:rPr>
            </w:pPr>
            <w:r w:rsidRPr="003015F7">
              <w:rPr>
                <w:rFonts w:ascii="Times New Roman" w:hAnsi="Times New Roman"/>
                <w:sz w:val="28"/>
                <w:szCs w:val="28"/>
              </w:rPr>
              <w:lastRenderedPageBreak/>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 xml:space="preserve">Отказывая в удовлетворении требований заявителя, суд указал, что в ходе контрольного мероприятия установлено, что на основании приказа ФИАН от 21.11.2019 № 1244-ф «О выплате надбавок работникам» постановлено выплатить в ноябре 2019 г. надбавки к должностным окладам работников Дирекции и общих служб из средств по теме «Иттербий-2019» в соответствии с подпунктом 4.3.1в пункта 4.3 Положения об оплате труда работников ФИАН за содействие выполнению научных исследований на сумму 900 000 руб. Приказ от 21.11.2019 издан на основании служебной записки руководителя </w:t>
            </w:r>
            <w:r w:rsidRPr="003F5858">
              <w:rPr>
                <w:rFonts w:ascii="Times New Roman" w:hAnsi="Times New Roman"/>
                <w:sz w:val="28"/>
                <w:szCs w:val="28"/>
                <w:highlight w:val="yellow"/>
              </w:rPr>
              <w:t>К.Ю. Хабаровой и подписан помощником директора по финансово-экономическим вопросам по инновационной деятельности В.Н. Неволиным</w:t>
            </w:r>
            <w:bookmarkStart w:id="0" w:name="_GoBack"/>
            <w:bookmarkEnd w:id="0"/>
            <w:r w:rsidRPr="00893F08">
              <w:rPr>
                <w:rFonts w:ascii="Times New Roman" w:hAnsi="Times New Roman"/>
                <w:sz w:val="28"/>
                <w:szCs w:val="28"/>
              </w:rPr>
              <w:t>. В служебной записке К.Ю. Хабаровой указана просьба выплатить в октябре 2019 г. надбавки к должностным окладам работников Дирекции и общих служб из средств по теме «Иттербий-2019» за содействие выполнению научных исследований на сумму 900 000 руб. В расшифровке к служебной записке К.Ю. Хабаровой указано: «Колачевский Николай Николаевич», «Дирекция», «директор», «900 000,00». Другие документы, которые являются основанием для назначения и выплаты указанной надбавки к должностному окладу Колачевскому Николаю Николаевичу, в ходе контрольного мероприятия не представлены.</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Письма Минобрнауки России, на которые ссылается истец, не являются решением главного распорядителя средств федерального бюджета на выплату стимулирующего характера руководителю ФИАН Н.Н. Колачевскому.</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Любые выплаты стимулирующего характера директору ФИАН Н.Н. Колачевскому как по основной должности, так и по совмещаемой, правомерны исключительно по решению работодателя.</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Решение главного распорядителя средств федерального бюджета</w:t>
            </w:r>
            <w:r>
              <w:rPr>
                <w:rFonts w:ascii="Times New Roman" w:hAnsi="Times New Roman"/>
                <w:sz w:val="28"/>
                <w:szCs w:val="28"/>
              </w:rPr>
              <w:t xml:space="preserve"> </w:t>
            </w:r>
            <w:r w:rsidRPr="00893F08">
              <w:rPr>
                <w:rFonts w:ascii="Times New Roman" w:hAnsi="Times New Roman"/>
                <w:sz w:val="28"/>
                <w:szCs w:val="28"/>
              </w:rPr>
              <w:t>на выплату стимулирующего характера руководителю учреждения, подведомственного Минобрнауки, - директору ФИАН Н.Н. Колачевскому отсутствует.</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Документы, подтверждающие возложение обязанностей директора ФИАН на В.Н. Неволина 21.11.2019, не представлены.</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lastRenderedPageBreak/>
              <w:t>Пояснения по фактам подписания указанных приказов В.Н. Неволиным не представлены.</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При указанных обстоятельствах можно сделать вывод о том, что ФИАН в 2019 году выплачена надбавка директору ФИАН без решения органа государственной власти, выступающего от имени учредителя/работодателя - Минобрнауки России в размере 900 000,00 рублей.</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Суд также указал, что в рассматриваемом случае отсутствуют основания, которые одновременно необходимы для признания действий, решений либо ненормативного акта государственного органа недействительными.</w:t>
            </w:r>
          </w:p>
          <w:p w:rsidR="00893F08" w:rsidRPr="00893F08" w:rsidRDefault="00893F08" w:rsidP="00893F08">
            <w:pPr>
              <w:autoSpaceDE w:val="0"/>
              <w:autoSpaceDN w:val="0"/>
              <w:adjustRightInd w:val="0"/>
              <w:spacing w:after="0" w:line="240" w:lineRule="auto"/>
              <w:ind w:firstLine="154"/>
              <w:jc w:val="both"/>
              <w:rPr>
                <w:rFonts w:ascii="Times New Roman" w:hAnsi="Times New Roman"/>
                <w:sz w:val="28"/>
                <w:szCs w:val="28"/>
              </w:rPr>
            </w:pPr>
            <w:r w:rsidRPr="00893F08">
              <w:rPr>
                <w:rFonts w:ascii="Times New Roman" w:hAnsi="Times New Roman"/>
                <w:sz w:val="28"/>
                <w:szCs w:val="28"/>
              </w:rPr>
              <w:t>Прочие доводы заявителя рассмотрены судом и не могут является основаниями для удовлетворения заявленных требований.</w:t>
            </w:r>
          </w:p>
          <w:p w:rsid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Учитывая изложенное, требования заявителя не могут быть удовлетворены ввиду отсутствия оснований, предусмотренных ч. 2 ст. 201 АПК РФ.</w:t>
            </w:r>
          </w:p>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Суд апелляционной инстанции согласился с выводами суда первой инстанции, указал, что решение Минобрнауки России оформляется либо приказом, либо распоряжением.</w:t>
            </w:r>
          </w:p>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 xml:space="preserve">Отказывая в удовлетворении апелляционной жалобы, суд указал, что письма, на которые ссылается ФИАН, не являются решением главного распорядителя средств федерального бюджета на выплату стимулирующего характера руководителю. </w:t>
            </w:r>
          </w:p>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Также суд апелляционной инстанции указал, что любые выплаты стимулирующего характера директору ФИАН Н.Н. Колачевскому как по основной должности, так и по совмещаемой, правомерны исключительно по решению работодателя.</w:t>
            </w:r>
          </w:p>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t>Решение главного распорядителя средств федерального бюджета</w:t>
            </w:r>
            <w:r>
              <w:rPr>
                <w:rFonts w:ascii="Times New Roman" w:hAnsi="Times New Roman"/>
                <w:sz w:val="28"/>
                <w:szCs w:val="28"/>
              </w:rPr>
              <w:t xml:space="preserve"> </w:t>
            </w:r>
            <w:r w:rsidRPr="00893F08">
              <w:rPr>
                <w:rFonts w:ascii="Times New Roman" w:hAnsi="Times New Roman"/>
                <w:sz w:val="28"/>
                <w:szCs w:val="28"/>
              </w:rPr>
              <w:t>на выплату стимулирующего характера руководителю учреждения, подведомственного Минобрнауки, - директору ФИАН Н.Н. Колачевскому отсутствует.</w:t>
            </w:r>
          </w:p>
          <w:p w:rsidR="00893F08" w:rsidRPr="00893F08" w:rsidRDefault="00893F08" w:rsidP="00893F08">
            <w:pPr>
              <w:tabs>
                <w:tab w:val="left" w:pos="8364"/>
              </w:tabs>
              <w:spacing w:after="0" w:line="240" w:lineRule="auto"/>
              <w:ind w:firstLine="217"/>
              <w:jc w:val="both"/>
              <w:rPr>
                <w:rFonts w:ascii="Times New Roman" w:hAnsi="Times New Roman"/>
                <w:sz w:val="28"/>
                <w:szCs w:val="28"/>
                <w:highlight w:val="yellow"/>
              </w:rPr>
            </w:pPr>
            <w:r w:rsidRPr="00893F08">
              <w:rPr>
                <w:rFonts w:ascii="Times New Roman" w:hAnsi="Times New Roman"/>
                <w:sz w:val="28"/>
                <w:szCs w:val="28"/>
              </w:rPr>
              <w:t xml:space="preserve">Судом апелляционной инстанции рассмотрены все доводы апелляционной жалобы, однако они не опровергают выводы суда, положенные в основу решения, и не могут служить основанием для отмены решения и удовлетворения апелляционной жалобы. Обстоятельства по делу судом первой инстанции установлены полно и правильно, им дана надлежащая правовая оценка. </w:t>
            </w:r>
            <w:r w:rsidRPr="00893F08">
              <w:rPr>
                <w:rFonts w:ascii="Times New Roman" w:hAnsi="Times New Roman"/>
                <w:sz w:val="28"/>
                <w:szCs w:val="28"/>
              </w:rPr>
              <w:lastRenderedPageBreak/>
              <w:t>Нарушений норм процессуального права, которые привели к принятию неправильного решения, судом первой инстанции не допущено. Основания для отмены решения суда отсутствуют.</w:t>
            </w:r>
          </w:p>
        </w:tc>
      </w:tr>
      <w:tr w:rsidR="00893F08" w:rsidRPr="004E18DA" w:rsidTr="000065D0">
        <w:tc>
          <w:tcPr>
            <w:tcW w:w="3118" w:type="dxa"/>
            <w:tcBorders>
              <w:top w:val="single" w:sz="4" w:space="0" w:color="auto"/>
              <w:left w:val="single" w:sz="4" w:space="0" w:color="auto"/>
              <w:bottom w:val="single" w:sz="4" w:space="0" w:color="auto"/>
              <w:right w:val="single" w:sz="4" w:space="0" w:color="auto"/>
            </w:tcBorders>
          </w:tcPr>
          <w:p w:rsidR="00893F08" w:rsidRPr="00893F08" w:rsidRDefault="00893F08" w:rsidP="000065D0">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sz w:val="28"/>
                <w:szCs w:val="28"/>
              </w:rPr>
              <w:lastRenderedPageBreak/>
              <w:t xml:space="preserve">5. Номер и дата дела </w:t>
            </w:r>
            <w:r w:rsidRPr="00893F08">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893F08" w:rsidRPr="00893F08" w:rsidRDefault="00893F08" w:rsidP="00893F08">
            <w:pPr>
              <w:tabs>
                <w:tab w:val="left" w:pos="8364"/>
              </w:tabs>
              <w:spacing w:after="0" w:line="240" w:lineRule="auto"/>
              <w:ind w:firstLine="217"/>
              <w:jc w:val="both"/>
              <w:rPr>
                <w:rFonts w:ascii="Times New Roman" w:hAnsi="Times New Roman"/>
                <w:sz w:val="28"/>
                <w:szCs w:val="28"/>
              </w:rPr>
            </w:pPr>
            <w:r w:rsidRPr="00893F08">
              <w:rPr>
                <w:rFonts w:ascii="Times New Roman" w:hAnsi="Times New Roman" w:cs="Times New Roman"/>
                <w:bCs/>
                <w:sz w:val="28"/>
                <w:szCs w:val="28"/>
              </w:rPr>
              <w:t xml:space="preserve">  Дело № 21-13/33-2022 от 07.10.2022</w:t>
            </w:r>
          </w:p>
        </w:tc>
      </w:tr>
    </w:tbl>
    <w:p w:rsidR="00893F08" w:rsidRDefault="00893F08"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4947EC" w:rsidRPr="004E18DA" w:rsidTr="00B87159">
        <w:tc>
          <w:tcPr>
            <w:tcW w:w="3118" w:type="dxa"/>
            <w:tcBorders>
              <w:top w:val="single" w:sz="4" w:space="0" w:color="auto"/>
              <w:left w:val="single" w:sz="4" w:space="0" w:color="auto"/>
              <w:bottom w:val="single" w:sz="4" w:space="0" w:color="auto"/>
              <w:right w:val="single" w:sz="4" w:space="0" w:color="auto"/>
            </w:tcBorders>
          </w:tcPr>
          <w:p w:rsidR="004947EC" w:rsidRPr="004E18DA" w:rsidRDefault="004947EC"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4947EC" w:rsidRPr="004E18DA"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4E18DA">
              <w:rPr>
                <w:rFonts w:ascii="Times New Roman" w:hAnsi="Times New Roman" w:cs="Times New Roman"/>
                <w:sz w:val="28"/>
                <w:szCs w:val="28"/>
              </w:rPr>
              <w:t>Федеральное государственное казенное образовательное учреждение высшего образования «Академия управления Министерства внутренних дел Российской Федерации» (далее – Академия) обратилось в Арбитражный суд города Москвы с заявлением о признании недействительным представления Управления от 01.12.2021 № 93-13-08/30.</w:t>
            </w:r>
          </w:p>
          <w:p w:rsidR="004947EC" w:rsidRPr="004E18DA"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4E18DA">
              <w:rPr>
                <w:rFonts w:ascii="Times New Roman" w:hAnsi="Times New Roman" w:cs="Times New Roman"/>
                <w:sz w:val="28"/>
                <w:szCs w:val="28"/>
              </w:rPr>
              <w:t>Управлением на основании обращения Главного следственного управления Следственного комитета Российской Федерации по городу Москве проведена внеплановая выездная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муниципальный нужд в отношении отдельных закупок для обеспечения федеральных нужд.</w:t>
            </w:r>
          </w:p>
          <w:p w:rsidR="004947EC" w:rsidRPr="004E18DA"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4E18DA">
              <w:rPr>
                <w:rFonts w:ascii="Times New Roman" w:hAnsi="Times New Roman" w:cs="Times New Roman"/>
                <w:sz w:val="28"/>
                <w:szCs w:val="28"/>
              </w:rPr>
              <w:t>В ходе контрольного мероприятия была проверена одна закупка, в отношении которой установлено семь нарушений законодательства о контрактной системе.</w:t>
            </w:r>
          </w:p>
          <w:p w:rsidR="004947EC" w:rsidRPr="004E18DA"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4E18DA">
              <w:rPr>
                <w:rFonts w:ascii="Times New Roman" w:hAnsi="Times New Roman" w:cs="Times New Roman"/>
                <w:sz w:val="28"/>
                <w:szCs w:val="28"/>
              </w:rPr>
              <w:t>Так, установлено, что Академией приняты и оплачены работы, выполненные не в полном объеме, не достигнута цель закупки, так как проект на строительство жилого здания, получивший положительное заключение государственной экспертизы проектной документации, отсутствует, актуальный на момент проведения проверки принятый проект не соответствует условиям контракта, Академией не исполнена обязанность по обеспечению подрядчика исходно-разрешительной документацией, не выставлено требование об уплате штрафа, изменены существенные условия контракта, цена закупки включена в план-график без обоснования посредством применения одного или нескольких методов.</w:t>
            </w:r>
          </w:p>
          <w:p w:rsidR="004947EC" w:rsidRPr="004E18DA"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4E18DA">
              <w:rPr>
                <w:rFonts w:ascii="Times New Roman" w:hAnsi="Times New Roman" w:cs="Times New Roman"/>
                <w:bCs/>
                <w:sz w:val="28"/>
                <w:szCs w:val="28"/>
              </w:rPr>
              <w:t xml:space="preserve">По пункту 1 представления. Академией неправомерно приняты и оплачены выполненные не в полном объеме работы, предусмотренные государственным контрактом, результаты инженерных изысканий, проектная и рабочая </w:t>
            </w:r>
            <w:r w:rsidRPr="004E18DA">
              <w:rPr>
                <w:rFonts w:ascii="Times New Roman" w:hAnsi="Times New Roman" w:cs="Times New Roman"/>
                <w:bCs/>
                <w:sz w:val="28"/>
                <w:szCs w:val="28"/>
              </w:rPr>
              <w:lastRenderedPageBreak/>
              <w:t xml:space="preserve">документация приняты в отсутствие положительных заключений государственной экспертизы. </w:t>
            </w:r>
          </w:p>
          <w:p w:rsidR="004947EC" w:rsidRPr="004E18DA"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4E18DA">
              <w:rPr>
                <w:rFonts w:ascii="Times New Roman" w:hAnsi="Times New Roman" w:cs="Times New Roman"/>
                <w:bCs/>
                <w:sz w:val="28"/>
                <w:szCs w:val="28"/>
              </w:rPr>
              <w:t xml:space="preserve">По условиям государственного контракта заказчик проводит приемку выполненных работ по завершению выполнения всего объема работ, предусмотренного условиями контракта, который включается в себя положительную государственную экспертизу по объекту. </w:t>
            </w:r>
          </w:p>
          <w:p w:rsidR="004947EC" w:rsidRPr="004E18DA"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4E18DA">
              <w:rPr>
                <w:rFonts w:ascii="Times New Roman" w:hAnsi="Times New Roman" w:cs="Times New Roman"/>
                <w:bCs/>
                <w:sz w:val="28"/>
                <w:szCs w:val="28"/>
              </w:rPr>
              <w:t>Приемка результатов инженерных изысканий и проектной документации в отсутствие положительного заключения государственной экспертизы является нарушением положений законодательства о контрактной системе и условий государственного контракта.</w:t>
            </w:r>
          </w:p>
          <w:p w:rsidR="004947EC" w:rsidRPr="004E18DA"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4E18DA">
              <w:rPr>
                <w:rFonts w:ascii="Times New Roman" w:hAnsi="Times New Roman" w:cs="Times New Roman"/>
                <w:bCs/>
                <w:sz w:val="28"/>
                <w:szCs w:val="28"/>
              </w:rPr>
              <w:t>По пункту 2 представления. Академией не достигнута цель закупки, в частности, проект на строительство жилого здания, получивший положительное заключение государственной экспертизы проектной документации, отсутствует. Результаты инженерных изысканий, получившие положительное заключение государственной экспертизы, не могут быть использованы отдельно от проекта на строительство объекта, что не соответствует принципу эффективности расходования бюджетных средств, установленному статьей 34 Бюджетного кодекса Российской Федерации.</w:t>
            </w:r>
          </w:p>
          <w:p w:rsidR="004947EC" w:rsidRPr="004E18DA"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4E18DA">
              <w:rPr>
                <w:rFonts w:ascii="Times New Roman" w:hAnsi="Times New Roman" w:cs="Times New Roman"/>
                <w:bCs/>
                <w:sz w:val="28"/>
                <w:szCs w:val="28"/>
              </w:rPr>
              <w:t xml:space="preserve">Согласно условиям государственного контракта, срок выполнения проектно-изыскательских работ истец 25.12.2018, тем не менее на момент проведения контрольного мероприятия и направления представления (декабрь 2021 года) весь объем работ по контракту не выполнен, цель закупки не достигнута. </w:t>
            </w:r>
          </w:p>
          <w:p w:rsidR="004947EC" w:rsidRPr="004E18DA" w:rsidRDefault="004947EC" w:rsidP="004947E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4E18DA">
              <w:rPr>
                <w:rFonts w:ascii="Times New Roman" w:hAnsi="Times New Roman" w:cs="Times New Roman"/>
                <w:bCs/>
                <w:sz w:val="28"/>
                <w:szCs w:val="28"/>
              </w:rPr>
              <w:t xml:space="preserve">По пункту 3 представления. Актуальный на момент проведения проверки проект на строительство Объекта, принятый Академией, не соответствует условиям государственного контракта в части проектной мощности: </w:t>
            </w:r>
            <w:r w:rsidRPr="004E18DA">
              <w:rPr>
                <w:rFonts w:ascii="Times New Roman" w:hAnsi="Times New Roman"/>
                <w:sz w:val="28"/>
                <w:szCs w:val="28"/>
              </w:rPr>
              <w:t xml:space="preserve">жилая площадь помещений уменьшилась на 107,22 м2. </w:t>
            </w:r>
            <w:r w:rsidRPr="004E18DA">
              <w:rPr>
                <w:rFonts w:ascii="Times New Roman" w:eastAsia="Times New Roman" w:hAnsi="Times New Roman" w:cs="Times New Roman"/>
                <w:sz w:val="28"/>
                <w:szCs w:val="28"/>
              </w:rPr>
              <w:t>Согласно контракту от 18.05.2018 № 116 размер жилой площади помещений «не менее 6 838 м2», дополнительным соглашением от 29.09.2018 б/н установлено «8 807,70 м2», при этом актуальный на момент проведения проект на строительство Объекта имеет размер жилой площади помещений «8 700,48 м2».</w:t>
            </w:r>
          </w:p>
          <w:p w:rsidR="004947EC" w:rsidRPr="004E18DA" w:rsidRDefault="004947EC" w:rsidP="004947E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4E18DA">
              <w:rPr>
                <w:rFonts w:ascii="Times New Roman" w:eastAsia="Times New Roman" w:hAnsi="Times New Roman" w:cs="Times New Roman"/>
                <w:sz w:val="28"/>
                <w:szCs w:val="28"/>
              </w:rPr>
              <w:t xml:space="preserve">По пункту 4 представления. Академией ненадлежащим образом исполнены обязанности по обеспечению необходимой для проведения государственной экспертизы проектно-сметной документации по Объекту </w:t>
            </w:r>
            <w:r w:rsidRPr="004E18DA">
              <w:rPr>
                <w:rFonts w:ascii="Times New Roman" w:eastAsia="Times New Roman" w:hAnsi="Times New Roman" w:cs="Times New Roman"/>
                <w:sz w:val="28"/>
                <w:szCs w:val="28"/>
              </w:rPr>
              <w:lastRenderedPageBreak/>
              <w:t>и получения положительных заключений, предусмотренных условиями контракта.</w:t>
            </w:r>
            <w:r w:rsidRPr="004E18DA">
              <w:rPr>
                <w:rFonts w:ascii="Times New Roman" w:hAnsi="Times New Roman"/>
                <w:sz w:val="28"/>
                <w:szCs w:val="28"/>
                <w:lang w:eastAsia="ar-SA"/>
              </w:rPr>
              <w:t xml:space="preserve"> Градостроительный план земельного участка (ГПЗУ), соответствующий техническому заданию конкурсной документации и проектной документации на строительство Объекта в части территориальной зоны, вида разрешенного использования земельного участка и предельной этажности Академией</w:t>
            </w:r>
            <w:r w:rsidRPr="004E18DA">
              <w:rPr>
                <w:rFonts w:ascii="Times New Roman" w:eastAsia="Times New Roman" w:hAnsi="Times New Roman" w:cs="Times New Roman"/>
                <w:sz w:val="28"/>
                <w:szCs w:val="28"/>
              </w:rPr>
              <w:t xml:space="preserve"> исполнителю по государственному контракту на момент проверки не передан, что повлекло нарушение срока исполнения обязательств по контракту на 990 календарных дней.</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eastAsia="Times New Roman" w:hAnsi="Times New Roman" w:cs="Times New Roman"/>
                <w:sz w:val="28"/>
                <w:szCs w:val="28"/>
              </w:rPr>
              <w:t>При заключении контракта Академией исполнителю передан ГПЗУ</w:t>
            </w:r>
            <w:r w:rsidRPr="004E18DA">
              <w:rPr>
                <w:rFonts w:ascii="Times New Roman" w:hAnsi="Times New Roman"/>
                <w:sz w:val="28"/>
                <w:szCs w:val="28"/>
              </w:rPr>
              <w:t xml:space="preserve"> основные виды разрешенного использования земельного участка градостроительным регламентом не установлены, условно разрешенные виды использования земельного участка не относятся к жилому назначению; </w:t>
            </w:r>
            <w:r w:rsidRPr="004E18DA">
              <w:rPr>
                <w:rFonts w:ascii="Times New Roman" w:hAnsi="Times New Roman"/>
                <w:sz w:val="28"/>
                <w:szCs w:val="28"/>
                <w:lang w:eastAsia="ar-SA"/>
              </w:rPr>
              <w:t xml:space="preserve">территориальная зона участка: 0-4 «Зона объектов отдыха и туризма», </w:t>
            </w:r>
            <w:r w:rsidRPr="004E18DA">
              <w:rPr>
                <w:rFonts w:ascii="Times New Roman" w:hAnsi="Times New Roman"/>
                <w:sz w:val="28"/>
                <w:szCs w:val="28"/>
              </w:rPr>
              <w:t>что не соответствует проектной документации на строительство Объекта (согласно техническому заданию подлежат выполнению проектно-изыскательские работы на строительство 9-ти этажного многоквартирного Объекта жилого назначения).</w:t>
            </w:r>
          </w:p>
          <w:p w:rsidR="004947EC" w:rsidRPr="004E18DA" w:rsidRDefault="004947EC" w:rsidP="004947E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4E18DA">
              <w:rPr>
                <w:rFonts w:ascii="Times New Roman" w:hAnsi="Times New Roman"/>
                <w:sz w:val="28"/>
                <w:szCs w:val="28"/>
              </w:rPr>
              <w:t xml:space="preserve">В письме от 17.12.2018, направленному в адрес Академии, исполнитель по государственному контракту указал, что ГПЗУ </w:t>
            </w:r>
            <w:r w:rsidRPr="004E18DA">
              <w:rPr>
                <w:rFonts w:ascii="Times New Roman" w:eastAsia="Times New Roman" w:hAnsi="Times New Roman" w:cs="Times New Roman"/>
                <w:sz w:val="28"/>
                <w:szCs w:val="28"/>
              </w:rPr>
              <w:t xml:space="preserve">с видом разрешенного использования, подходящим под строительство, для подачи документов на прохождение государственной экспертизы не представлен, что повлекло невозможность исполнения обязательств в части прохождения экспертизы проектно-сметной документации и нарушение срока выполнения работ.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В ходе проверки Академией были предъявлены ГПЗУ от 27.11.2018, от 02.04.2020, от 20.05.2021, согласно которым характеристики земельного участка также не подходят для строительства 9-ти этажного жилого дома.</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По пункту 5 представления. Академией не применены меры ответственности в отношении исполнителя по контракту, а именно не выставлено требование об уплате штрафа в размере 300 000,00 руб. в связи с ненаправлением результатов инженерных изысканий на проведение государственной экспертизы в порядке, предусмотренном государственным контрактом.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Условиями контракта установлено, что срок выполнения работ – с даты заключения контракта до 25.12.2018. </w:t>
            </w:r>
            <w:r w:rsidRPr="004E18DA">
              <w:rPr>
                <w:rFonts w:ascii="Times New Roman" w:hAnsi="Times New Roman"/>
                <w:sz w:val="28"/>
                <w:szCs w:val="28"/>
              </w:rPr>
              <w:lastRenderedPageBreak/>
              <w:t xml:space="preserve">Поскольку работы в установленный срок выполнены не были, Академии следовало направить требование об уплате штрафа в связи с ненадлежащим исполнением условий контракта.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Кроме того, проектная документация и результаты инженерных изысканий впервые направлены на проведение государственной экспертизы 11.06.2020. При этом для проведения государственной экспертизы результатов инженерных изысканий по Объекту и получения положительного заключения государственной экспертизы ГПЗУ, соответствующего проектной документации на строительство Объекта в части вида разрешенного использования земельного участка и предельной этажности, не требуется, о чем свидетельствует наличие положительного заключения государственной экспертизы от 28.10.2020 в отсутствие соответствующего проекту ГПЗУ.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По пункту 6 представления. Академией неправомерно изменены существенные условия контракта путем заключения дополнительного соглашения на увеличение цены контракта на сумму 250 000,00 руб. без пропорционального увеличения объема работ, а также акта о приостановлении строительства (ПИР) на приостановление выполнения проектно-изыскательских работ (общий срок приостановки составил 502 календарных дня).</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В соответствии с положениями законодательства о контрактной системе по соглашению сторон допускается изменение цены контракта пропорционально дополнительному объему исходя из установленной в контракте цены единицы работы.</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lang w:eastAsia="ar-SA"/>
              </w:rPr>
            </w:pPr>
            <w:r w:rsidRPr="004E18DA">
              <w:rPr>
                <w:rFonts w:ascii="Times New Roman" w:hAnsi="Times New Roman"/>
                <w:sz w:val="28"/>
                <w:szCs w:val="28"/>
              </w:rPr>
              <w:t xml:space="preserve">Академией и исполнителем по контракту заключено дополнительное соглашение, согласно которому цена контракта увеличена на 250 000,00 руб., при этом внесены изменения в техническое задание в части количества квартир </w:t>
            </w:r>
            <w:r w:rsidRPr="004E18DA">
              <w:rPr>
                <w:rFonts w:ascii="Times New Roman" w:hAnsi="Times New Roman"/>
                <w:sz w:val="28"/>
                <w:szCs w:val="28"/>
                <w:lang w:eastAsia="ar-SA"/>
              </w:rPr>
              <w:t>(«не менее 100» заменено на «128»), жилой площади помещений («не менее 6838м</w:t>
            </w:r>
            <w:r w:rsidRPr="004E18DA">
              <w:rPr>
                <w:rFonts w:ascii="Times New Roman" w:hAnsi="Times New Roman"/>
                <w:sz w:val="28"/>
                <w:szCs w:val="28"/>
                <w:vertAlign w:val="superscript"/>
                <w:lang w:eastAsia="ar-SA"/>
              </w:rPr>
              <w:t xml:space="preserve">2» </w:t>
            </w:r>
            <w:r w:rsidRPr="004E18DA">
              <w:rPr>
                <w:rFonts w:ascii="Times New Roman" w:hAnsi="Times New Roman"/>
                <w:sz w:val="28"/>
                <w:szCs w:val="28"/>
                <w:lang w:eastAsia="ar-SA"/>
              </w:rPr>
              <w:t>заменено на «8807,7 м</w:t>
            </w:r>
            <w:r w:rsidRPr="004E18DA">
              <w:rPr>
                <w:rFonts w:ascii="Times New Roman" w:hAnsi="Times New Roman"/>
                <w:sz w:val="28"/>
                <w:szCs w:val="28"/>
                <w:vertAlign w:val="superscript"/>
                <w:lang w:eastAsia="ar-SA"/>
              </w:rPr>
              <w:t>2</w:t>
            </w:r>
            <w:r w:rsidRPr="004E18DA">
              <w:rPr>
                <w:rFonts w:ascii="Times New Roman" w:hAnsi="Times New Roman"/>
                <w:sz w:val="28"/>
                <w:szCs w:val="28"/>
                <w:lang w:eastAsia="ar-SA"/>
              </w:rPr>
              <w:t xml:space="preserve">»).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lang w:eastAsia="ar-SA"/>
              </w:rPr>
            </w:pPr>
            <w:r w:rsidRPr="004E18DA">
              <w:rPr>
                <w:rFonts w:ascii="Times New Roman" w:hAnsi="Times New Roman"/>
                <w:sz w:val="28"/>
                <w:szCs w:val="28"/>
                <w:lang w:eastAsia="ar-SA"/>
              </w:rPr>
              <w:t xml:space="preserve">Конкретное количество квартир и размер жилой площади помещений изначально техническим заданием к контракту установлено не было, в связи с чем заключение дополнительного соглашения в целях уточнения количества квартир и жилой площади помещений не может рассматриваться как увеличение объема работ, </w:t>
            </w:r>
            <w:r w:rsidRPr="004E18DA">
              <w:rPr>
                <w:rFonts w:ascii="Times New Roman" w:hAnsi="Times New Roman"/>
                <w:sz w:val="28"/>
                <w:szCs w:val="28"/>
                <w:lang w:eastAsia="ar-SA"/>
              </w:rPr>
              <w:lastRenderedPageBreak/>
              <w:t xml:space="preserve">подлежащих выполнению. Увеличение цены контракта в отсутствие установленной в контракте цены единицы работы не представляется возможным.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lang w:eastAsia="ar-SA"/>
              </w:rPr>
            </w:pPr>
            <w:r w:rsidRPr="004E18DA">
              <w:rPr>
                <w:rFonts w:ascii="Times New Roman" w:hAnsi="Times New Roman"/>
                <w:sz w:val="28"/>
                <w:szCs w:val="28"/>
                <w:lang w:eastAsia="ar-SA"/>
              </w:rPr>
              <w:t xml:space="preserve">Кроме того, акт о приостановлении строительства (ПИР) по своему смыслу представляет двустороннее соглашение, в соответствии с которым Академия и исполнитель по контракту договорились о приостановлении выполнения работ по контракту. При этом возможность приостановки выполнения работы </w:t>
            </w:r>
            <w:r w:rsidRPr="004E18DA">
              <w:rPr>
                <w:rFonts w:ascii="Times New Roman" w:eastAsia="Calibri" w:hAnsi="Times New Roman"/>
                <w:sz w:val="28"/>
                <w:szCs w:val="28"/>
                <w:lang w:val="x-none" w:eastAsia="x-none"/>
              </w:rPr>
              <w:t>Федеральн</w:t>
            </w:r>
            <w:r w:rsidRPr="004E18DA">
              <w:rPr>
                <w:rFonts w:ascii="Times New Roman" w:eastAsia="Calibri" w:hAnsi="Times New Roman"/>
                <w:sz w:val="28"/>
                <w:szCs w:val="28"/>
                <w:lang w:eastAsia="x-none"/>
              </w:rPr>
              <w:t>ым</w:t>
            </w:r>
            <w:r w:rsidRPr="004E18DA">
              <w:rPr>
                <w:rFonts w:ascii="Times New Roman" w:eastAsia="Calibri" w:hAnsi="Times New Roman"/>
                <w:sz w:val="28"/>
                <w:szCs w:val="28"/>
                <w:lang w:val="x-none" w:eastAsia="x-none"/>
              </w:rPr>
              <w:t xml:space="preserve"> закон</w:t>
            </w:r>
            <w:r w:rsidRPr="004E18DA">
              <w:rPr>
                <w:rFonts w:ascii="Times New Roman" w:eastAsia="Calibri" w:hAnsi="Times New Roman"/>
                <w:sz w:val="28"/>
                <w:szCs w:val="28"/>
                <w:lang w:eastAsia="x-none"/>
              </w:rPr>
              <w:t>ом</w:t>
            </w:r>
            <w:r w:rsidRPr="004E18DA">
              <w:rPr>
                <w:rFonts w:ascii="Times New Roman" w:eastAsia="Calibri" w:hAnsi="Times New Roman"/>
                <w:sz w:val="28"/>
                <w:szCs w:val="28"/>
                <w:lang w:val="x-none" w:eastAsia="x-none"/>
              </w:rPr>
              <w:t xml:space="preserve"> от </w:t>
            </w:r>
            <w:r w:rsidRPr="004E18DA">
              <w:rPr>
                <w:rFonts w:ascii="Times New Roman" w:eastAsia="Calibri" w:hAnsi="Times New Roman"/>
                <w:sz w:val="28"/>
                <w:szCs w:val="28"/>
                <w:lang w:eastAsia="x-none"/>
              </w:rPr>
              <w:t>0</w:t>
            </w:r>
            <w:r w:rsidRPr="004E18DA">
              <w:rPr>
                <w:rFonts w:ascii="Times New Roman" w:eastAsia="Calibri" w:hAnsi="Times New Roman"/>
                <w:sz w:val="28"/>
                <w:szCs w:val="28"/>
                <w:lang w:val="x-none" w:eastAsia="x-none"/>
              </w:rPr>
              <w:t>5</w:t>
            </w:r>
            <w:r w:rsidRPr="004E18DA">
              <w:rPr>
                <w:rFonts w:ascii="Times New Roman" w:eastAsia="Calibri" w:hAnsi="Times New Roman"/>
                <w:sz w:val="28"/>
                <w:szCs w:val="28"/>
                <w:lang w:eastAsia="x-none"/>
              </w:rPr>
              <w:t>.04.2</w:t>
            </w:r>
            <w:r w:rsidRPr="004E18DA">
              <w:rPr>
                <w:rFonts w:ascii="Times New Roman" w:eastAsia="Calibri" w:hAnsi="Times New Roman"/>
                <w:sz w:val="28"/>
                <w:szCs w:val="28"/>
                <w:lang w:val="x-none" w:eastAsia="x-none"/>
              </w:rPr>
              <w:t>013</w:t>
            </w:r>
            <w:r w:rsidRPr="004E18DA">
              <w:rPr>
                <w:rFonts w:ascii="Times New Roman" w:eastAsia="Calibri" w:hAnsi="Times New Roman"/>
                <w:sz w:val="28"/>
                <w:szCs w:val="28"/>
                <w:lang w:eastAsia="x-none"/>
              </w:rPr>
              <w:t xml:space="preserve"> </w:t>
            </w:r>
            <w:r w:rsidRPr="004E18DA">
              <w:rPr>
                <w:rFonts w:ascii="Times New Roman" w:eastAsia="Calibri" w:hAnsi="Times New Roman"/>
                <w:sz w:val="28"/>
                <w:szCs w:val="28"/>
                <w:lang w:val="x-none" w:eastAsia="x-none"/>
              </w:rPr>
              <w:t xml:space="preserve">№ 44-ФЗ «О контрактной системе в сфере закупок товаров, работ, </w:t>
            </w:r>
            <w:r w:rsidRPr="004E18DA">
              <w:rPr>
                <w:rFonts w:ascii="Times New Roman" w:eastAsia="Calibri" w:hAnsi="Times New Roman"/>
                <w:sz w:val="28"/>
                <w:szCs w:val="28"/>
                <w:lang w:val="x-none" w:eastAsia="x-none"/>
              </w:rPr>
              <w:br/>
              <w:t>услуг для обеспечения государственных и муниципальных нужд»</w:t>
            </w:r>
            <w:r w:rsidRPr="004E18DA">
              <w:rPr>
                <w:rFonts w:ascii="Times New Roman" w:eastAsia="Calibri" w:hAnsi="Times New Roman"/>
                <w:sz w:val="28"/>
                <w:szCs w:val="28"/>
                <w:lang w:eastAsia="x-none"/>
              </w:rPr>
              <w:t xml:space="preserve"> (далее – Закон о контрактной системе) </w:t>
            </w:r>
            <w:r w:rsidRPr="004E18DA">
              <w:rPr>
                <w:rFonts w:ascii="Times New Roman" w:hAnsi="Times New Roman"/>
                <w:sz w:val="28"/>
                <w:szCs w:val="28"/>
                <w:lang w:eastAsia="ar-SA"/>
              </w:rPr>
              <w:t xml:space="preserve">не предусмотрена.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lang w:eastAsia="ar-SA"/>
              </w:rPr>
              <w:t xml:space="preserve">По пункту 7 представления. Согласно положениям Закона о контрактной системе </w:t>
            </w:r>
            <w:r w:rsidRPr="004E18DA">
              <w:rPr>
                <w:rFonts w:ascii="Times New Roman" w:hAnsi="Times New Roman"/>
                <w:sz w:val="28"/>
                <w:szCs w:val="28"/>
              </w:rPr>
              <w:t xml:space="preserve">при формировании плана-графика обоснованию подлежит начальная (максимальная) цена контракта, цена контракта </w:t>
            </w:r>
            <w:r w:rsidRPr="004E18DA">
              <w:rPr>
                <w:rFonts w:ascii="Times New Roman" w:hAnsi="Times New Roman"/>
                <w:sz w:val="28"/>
                <w:szCs w:val="28"/>
              </w:rPr>
              <w:br/>
              <w:t xml:space="preserve">в порядке, установленном </w:t>
            </w:r>
            <w:hyperlink r:id="rId8" w:history="1">
              <w:r w:rsidRPr="004E18DA">
                <w:rPr>
                  <w:rFonts w:ascii="Times New Roman" w:hAnsi="Times New Roman"/>
                  <w:sz w:val="28"/>
                  <w:szCs w:val="28"/>
                </w:rPr>
                <w:t>статьей 22</w:t>
              </w:r>
            </w:hyperlink>
            <w:r w:rsidRPr="004E18DA">
              <w:rPr>
                <w:rFonts w:ascii="Times New Roman" w:hAnsi="Times New Roman"/>
                <w:sz w:val="28"/>
                <w:szCs w:val="28"/>
              </w:rPr>
              <w:t xml:space="preserve"> Закона о контрактной системе.</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Академией в </w:t>
            </w:r>
            <w:r w:rsidRPr="004E18DA">
              <w:rPr>
                <w:rFonts w:ascii="Times New Roman" w:hAnsi="Times New Roman"/>
                <w:sz w:val="28"/>
                <w:szCs w:val="28"/>
                <w:lang w:eastAsia="ar-SA"/>
              </w:rPr>
              <w:t xml:space="preserve">План-график закупок на 2018 год включена закупка, в отношении которой обоснование посредством применения метода или нескольких методов, предусмотренных частью 1 статьи 22 Закона о </w:t>
            </w:r>
            <w:r w:rsidRPr="004E18DA">
              <w:rPr>
                <w:rFonts w:ascii="Times New Roman" w:hAnsi="Times New Roman"/>
                <w:sz w:val="28"/>
                <w:szCs w:val="28"/>
              </w:rPr>
              <w:t xml:space="preserve">контрактной системе, отсутствует. </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Обоснование начальной (максимальной) цены контракта закупки в ходе проведения Управлением контрольного мероприятия не представлено.</w:t>
            </w:r>
          </w:p>
          <w:p w:rsidR="004947EC" w:rsidRPr="004E18DA" w:rsidRDefault="004947EC" w:rsidP="004947EC">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Согласно абзацу 1 страницы 4 протокола обыска от 22.07.2020 Следственным управлением по Юго-Восточному административному округу Главного следственного управления Следственного комитета Российской Федерации по г. Москве изъят расчет начальной (максимальной) цены контракта закупки на выполнение проектно-изыскательских работ по объекту: «Строительство жилого здания филиала Академии управления МВД России «Болшево» Московская область, г. Королев» – Сводная смета.</w:t>
            </w:r>
          </w:p>
          <w:p w:rsidR="004947EC" w:rsidRPr="004E18DA"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4E18DA">
              <w:rPr>
                <w:rFonts w:ascii="Times New Roman" w:hAnsi="Times New Roman"/>
                <w:sz w:val="28"/>
                <w:szCs w:val="28"/>
              </w:rPr>
              <w:t xml:space="preserve">Изъятый </w:t>
            </w:r>
            <w:r w:rsidRPr="004E18DA">
              <w:rPr>
                <w:rFonts w:ascii="Times New Roman" w:eastAsia="Times New Roman" w:hAnsi="Times New Roman" w:cs="Times New Roman"/>
                <w:sz w:val="28"/>
                <w:szCs w:val="28"/>
                <w:lang w:eastAsia="ar-SA"/>
              </w:rPr>
              <w:t xml:space="preserve">расчет не является обоснованием </w:t>
            </w:r>
            <w:r w:rsidRPr="004E18DA">
              <w:rPr>
                <w:rFonts w:ascii="Times New Roman" w:eastAsia="Calibri" w:hAnsi="Times New Roman" w:cs="Times New Roman"/>
                <w:sz w:val="28"/>
                <w:szCs w:val="28"/>
                <w:lang w:eastAsia="x-none"/>
              </w:rPr>
              <w:t>начальной (максимальной) цены контракта</w:t>
            </w:r>
            <w:r w:rsidRPr="004E18DA">
              <w:rPr>
                <w:rFonts w:ascii="Times New Roman" w:eastAsia="Times New Roman" w:hAnsi="Times New Roman" w:cs="Times New Roman"/>
                <w:sz w:val="28"/>
                <w:szCs w:val="28"/>
                <w:lang w:eastAsia="ar-SA"/>
              </w:rPr>
              <w:t xml:space="preserve"> закупки, включенной в План-график закупок на 2018 год.</w:t>
            </w:r>
          </w:p>
          <w:p w:rsidR="004947EC" w:rsidRPr="004E18DA" w:rsidRDefault="004947EC" w:rsidP="004947EC">
            <w:pPr>
              <w:tabs>
                <w:tab w:val="left" w:pos="8364"/>
              </w:tabs>
              <w:spacing w:after="0" w:line="240" w:lineRule="auto"/>
              <w:ind w:firstLine="217"/>
              <w:jc w:val="both"/>
              <w:rPr>
                <w:rFonts w:ascii="Times New Roman" w:hAnsi="Times New Roman" w:cs="Times New Roman"/>
                <w:sz w:val="28"/>
                <w:szCs w:val="28"/>
              </w:rPr>
            </w:pPr>
            <w:r w:rsidRPr="004E18DA">
              <w:rPr>
                <w:rFonts w:ascii="Times New Roman" w:hAnsi="Times New Roman" w:cs="Times New Roman"/>
                <w:sz w:val="28"/>
                <w:szCs w:val="28"/>
              </w:rPr>
              <w:t xml:space="preserve">По результатам рассмотрения акта и других материалов проверки Академии направлено представление с </w:t>
            </w:r>
            <w:r w:rsidRPr="004E18DA">
              <w:rPr>
                <w:rFonts w:ascii="Times New Roman" w:hAnsi="Times New Roman" w:cs="Times New Roman"/>
                <w:sz w:val="28"/>
                <w:szCs w:val="28"/>
              </w:rPr>
              <w:lastRenderedPageBreak/>
              <w:t>требованием устранить причины и условия нарушений, выявленных в ходе контрольного мероприятия.</w:t>
            </w:r>
          </w:p>
          <w:p w:rsidR="004947EC" w:rsidRPr="004E18DA" w:rsidRDefault="004947EC" w:rsidP="004947EC">
            <w:pPr>
              <w:tabs>
                <w:tab w:val="left" w:pos="8364"/>
              </w:tabs>
              <w:spacing w:after="0" w:line="240" w:lineRule="auto"/>
              <w:ind w:firstLine="217"/>
              <w:jc w:val="both"/>
              <w:rPr>
                <w:rFonts w:ascii="Times New Roman" w:hAnsi="Times New Roman" w:cs="Times New Roman"/>
                <w:sz w:val="28"/>
                <w:szCs w:val="28"/>
              </w:rPr>
            </w:pPr>
            <w:r w:rsidRPr="004E18DA">
              <w:rPr>
                <w:rFonts w:ascii="Times New Roman" w:hAnsi="Times New Roman" w:cs="Times New Roman"/>
                <w:sz w:val="28"/>
                <w:szCs w:val="28"/>
              </w:rPr>
              <w:t>Академия не согласилась с представлением, указала, что</w:t>
            </w:r>
            <w:r w:rsidR="00E777D5" w:rsidRPr="004E18DA">
              <w:rPr>
                <w:rFonts w:ascii="Times New Roman" w:hAnsi="Times New Roman" w:cs="Times New Roman"/>
                <w:sz w:val="28"/>
                <w:szCs w:val="28"/>
              </w:rPr>
              <w:t xml:space="preserve"> вступившим в законную силу решением суда по делу </w:t>
            </w:r>
            <w:r w:rsidR="00E777D5" w:rsidRPr="004E18DA">
              <w:rPr>
                <w:rFonts w:ascii="Times New Roman" w:hAnsi="Times New Roman" w:cs="Times New Roman"/>
                <w:sz w:val="28"/>
                <w:szCs w:val="28"/>
              </w:rPr>
              <w:br/>
            </w:r>
            <w:r w:rsidR="00E777D5" w:rsidRPr="004E18DA">
              <w:rPr>
                <w:rFonts w:ascii="Times New Roman" w:hAnsi="Times New Roman"/>
                <w:sz w:val="28"/>
                <w:szCs w:val="28"/>
              </w:rPr>
              <w:t>№ А40-145937/20-89/771</w:t>
            </w:r>
            <w:r w:rsidRPr="004E18DA">
              <w:rPr>
                <w:rFonts w:ascii="Times New Roman" w:hAnsi="Times New Roman" w:cs="Times New Roman"/>
                <w:sz w:val="28"/>
                <w:szCs w:val="28"/>
              </w:rPr>
              <w:t xml:space="preserve"> </w:t>
            </w:r>
            <w:r w:rsidR="00E777D5" w:rsidRPr="004E18DA">
              <w:rPr>
                <w:rFonts w:ascii="Times New Roman" w:hAnsi="Times New Roman" w:cs="Times New Roman"/>
                <w:sz w:val="28"/>
                <w:szCs w:val="28"/>
              </w:rPr>
              <w:t xml:space="preserve">установлены обстоятельства правомерности оплаты по государственному контракту (пункт 1 представления), приведены расчеты площади здания (пункт 3 представления), ведется работа в целях получения ГПЗУ, соответствующего требованиям технического задания (пункт 4 представления), </w:t>
            </w:r>
            <w:r w:rsidR="001428C2" w:rsidRPr="004E18DA">
              <w:rPr>
                <w:rFonts w:ascii="Times New Roman" w:hAnsi="Times New Roman" w:cs="Times New Roman"/>
                <w:sz w:val="28"/>
                <w:szCs w:val="28"/>
              </w:rPr>
              <w:t xml:space="preserve">решением суда по делу </w:t>
            </w:r>
            <w:r w:rsidR="001428C2" w:rsidRPr="004E18DA">
              <w:rPr>
                <w:rFonts w:ascii="Times New Roman" w:hAnsi="Times New Roman"/>
                <w:sz w:val="28"/>
                <w:szCs w:val="28"/>
              </w:rPr>
              <w:t>А40-164779/20 Академии отказано во взыскании штрафа (пункт 5 представления), в результате заключения дополнительного соглашения фактический объем работ увеличен (пункт 6 представления), обоснование НМЦК контракта изъято правоохранительными органами (пункт 7 представления).</w:t>
            </w:r>
          </w:p>
        </w:tc>
      </w:tr>
      <w:tr w:rsidR="004947EC" w:rsidRPr="004E18DA" w:rsidTr="00B87159">
        <w:tc>
          <w:tcPr>
            <w:tcW w:w="3118" w:type="dxa"/>
            <w:tcBorders>
              <w:top w:val="single" w:sz="4" w:space="0" w:color="auto"/>
              <w:left w:val="single" w:sz="4" w:space="0" w:color="auto"/>
              <w:bottom w:val="single" w:sz="4" w:space="0" w:color="auto"/>
              <w:right w:val="single" w:sz="4" w:space="0" w:color="auto"/>
            </w:tcBorders>
          </w:tcPr>
          <w:p w:rsidR="004947EC" w:rsidRPr="004E18DA" w:rsidRDefault="004947EC"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lastRenderedPageBreak/>
              <w:t xml:space="preserve">2. Судебные акты </w:t>
            </w:r>
            <w:r w:rsidRPr="004E18DA">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4947EC" w:rsidRPr="004E18DA" w:rsidRDefault="004947EC" w:rsidP="004947EC">
            <w:pPr>
              <w:autoSpaceDE w:val="0"/>
              <w:autoSpaceDN w:val="0"/>
              <w:adjustRightInd w:val="0"/>
              <w:spacing w:after="0" w:line="240" w:lineRule="auto"/>
              <w:ind w:firstLine="154"/>
              <w:rPr>
                <w:rFonts w:ascii="Times New Roman" w:hAnsi="Times New Roman" w:cs="Times New Roman"/>
                <w:bCs/>
                <w:sz w:val="28"/>
                <w:szCs w:val="28"/>
              </w:rPr>
            </w:pPr>
            <w:r w:rsidRPr="004E18DA">
              <w:rPr>
                <w:rFonts w:ascii="Times New Roman" w:hAnsi="Times New Roman" w:cs="Times New Roman"/>
                <w:bCs/>
                <w:sz w:val="28"/>
                <w:szCs w:val="28"/>
              </w:rPr>
              <w:t>Дело № А40-286205/21.</w:t>
            </w:r>
          </w:p>
          <w:p w:rsidR="004947EC" w:rsidRPr="004E18DA" w:rsidRDefault="004947EC" w:rsidP="004947EC">
            <w:pPr>
              <w:autoSpaceDE w:val="0"/>
              <w:autoSpaceDN w:val="0"/>
              <w:adjustRightInd w:val="0"/>
              <w:spacing w:after="0" w:line="240" w:lineRule="auto"/>
              <w:ind w:firstLine="154"/>
              <w:jc w:val="both"/>
              <w:rPr>
                <w:rFonts w:ascii="Times New Roman" w:hAnsi="Times New Roman" w:cs="Times New Roman"/>
                <w:sz w:val="28"/>
                <w:szCs w:val="28"/>
              </w:rPr>
            </w:pPr>
            <w:r w:rsidRPr="004E18DA">
              <w:rPr>
                <w:rFonts w:ascii="Times New Roman" w:hAnsi="Times New Roman" w:cs="Times New Roman"/>
                <w:bCs/>
                <w:sz w:val="28"/>
                <w:szCs w:val="28"/>
              </w:rPr>
              <w:t xml:space="preserve">Решение Арбитражного суда города Москвы </w:t>
            </w:r>
            <w:r w:rsidRPr="004E18DA">
              <w:rPr>
                <w:rFonts w:ascii="Times New Roman" w:hAnsi="Times New Roman" w:cs="Times New Roman"/>
                <w:bCs/>
                <w:sz w:val="28"/>
                <w:szCs w:val="28"/>
              </w:rPr>
              <w:br/>
              <w:t>от 06.06.2022; Постановление Девятого арбитражного апелляционного суда от 07.09.2022 № 09АП-49489/2022.</w:t>
            </w:r>
          </w:p>
        </w:tc>
      </w:tr>
      <w:tr w:rsidR="004947EC" w:rsidRPr="004E18DA" w:rsidTr="00B87159">
        <w:trPr>
          <w:trHeight w:val="2143"/>
        </w:trPr>
        <w:tc>
          <w:tcPr>
            <w:tcW w:w="3118" w:type="dxa"/>
            <w:tcBorders>
              <w:top w:val="single" w:sz="4" w:space="0" w:color="auto"/>
              <w:left w:val="single" w:sz="4" w:space="0" w:color="auto"/>
              <w:bottom w:val="single" w:sz="4" w:space="0" w:color="auto"/>
              <w:right w:val="single" w:sz="4" w:space="0" w:color="auto"/>
            </w:tcBorders>
          </w:tcPr>
          <w:p w:rsidR="004947EC" w:rsidRPr="004E18DA" w:rsidRDefault="004947EC"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 xml:space="preserve">3. Судебные акты </w:t>
            </w:r>
            <w:r w:rsidRPr="004E18DA">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4947EC" w:rsidRPr="004E18DA" w:rsidRDefault="004947EC" w:rsidP="004947EC">
            <w:pPr>
              <w:autoSpaceDE w:val="0"/>
              <w:autoSpaceDN w:val="0"/>
              <w:adjustRightInd w:val="0"/>
              <w:spacing w:after="0" w:line="240" w:lineRule="auto"/>
              <w:ind w:firstLine="154"/>
              <w:rPr>
                <w:rFonts w:ascii="Times New Roman" w:hAnsi="Times New Roman" w:cs="Times New Roman"/>
                <w:bCs/>
                <w:sz w:val="28"/>
                <w:szCs w:val="28"/>
              </w:rPr>
            </w:pPr>
            <w:r w:rsidRPr="004E18DA">
              <w:rPr>
                <w:rFonts w:ascii="Times New Roman" w:hAnsi="Times New Roman" w:cs="Times New Roman"/>
                <w:bCs/>
                <w:sz w:val="28"/>
                <w:szCs w:val="28"/>
              </w:rPr>
              <w:t>Дело № А40-286205/21.</w:t>
            </w:r>
          </w:p>
          <w:p w:rsidR="004947EC" w:rsidRPr="004E18DA" w:rsidRDefault="004947EC" w:rsidP="004947EC">
            <w:pPr>
              <w:autoSpaceDE w:val="0"/>
              <w:autoSpaceDN w:val="0"/>
              <w:adjustRightInd w:val="0"/>
              <w:spacing w:after="0" w:line="240" w:lineRule="auto"/>
              <w:ind w:firstLine="154"/>
              <w:rPr>
                <w:rFonts w:ascii="Times New Roman" w:hAnsi="Times New Roman" w:cs="Times New Roman"/>
                <w:bCs/>
                <w:sz w:val="28"/>
                <w:szCs w:val="28"/>
              </w:rPr>
            </w:pPr>
            <w:r w:rsidRPr="004E18DA">
              <w:rPr>
                <w:rFonts w:ascii="Times New Roman" w:hAnsi="Times New Roman" w:cs="Times New Roman"/>
                <w:bCs/>
                <w:sz w:val="28"/>
                <w:szCs w:val="28"/>
              </w:rPr>
              <w:t>Постановление Арбитражного суда Московского округа от 14.02.2023.</w:t>
            </w:r>
          </w:p>
        </w:tc>
      </w:tr>
      <w:tr w:rsidR="004947EC" w:rsidRPr="004E18DA" w:rsidTr="00B87159">
        <w:tc>
          <w:tcPr>
            <w:tcW w:w="3118" w:type="dxa"/>
            <w:tcBorders>
              <w:top w:val="single" w:sz="4" w:space="0" w:color="auto"/>
              <w:left w:val="single" w:sz="4" w:space="0" w:color="auto"/>
              <w:bottom w:val="single" w:sz="4" w:space="0" w:color="auto"/>
              <w:right w:val="single" w:sz="4" w:space="0" w:color="auto"/>
            </w:tcBorders>
          </w:tcPr>
          <w:p w:rsidR="004947EC" w:rsidRPr="004E18DA" w:rsidRDefault="004947EC"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1428C2" w:rsidRPr="004E18DA" w:rsidRDefault="001428C2" w:rsidP="001428C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 xml:space="preserve">Принимая во внимание вступившие в законную силу судебные решения по делам № А40-164779/20, № А40-145937/20-89-771, суд первой инстанции пришел к выводу, что доводы ответчика по пунктам 1,4,5 оспариваемого Представления не обоснованы, нарушения отсутствуют. По пункту 3 Представления судом первой инстанции нарушение не выявлено, уменьшение жилой площади не произведено, сведения, полученные из проектной документация не получившей положительного заключения, не являются установленными и достоверными. По пункту 6 судом установлено увеличение жилой площади строения по сравнению с </w:t>
            </w:r>
            <w:r w:rsidRPr="004E18DA">
              <w:rPr>
                <w:rFonts w:ascii="Times New Roman" w:hAnsi="Times New Roman"/>
                <w:sz w:val="28"/>
                <w:szCs w:val="28"/>
              </w:rPr>
              <w:lastRenderedPageBreak/>
              <w:t>данными, указанными в технической документации, отсутствие детализации стоимости работ связано с изъятием документов Следственным комитетом. По пункту 7 Представления суд пришел к выводу, что расчет цены контракта имел место, сметы составлены, однако на момент проверки были изъяты Следственным комитетом. По пункту 2 Представления судом приняты доводы ответчика, цель закупки не достигнута, положительное заключение экспертизы не получено.</w:t>
            </w:r>
          </w:p>
          <w:p w:rsidR="001428C2" w:rsidRPr="004E18DA" w:rsidRDefault="001428C2" w:rsidP="001428C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Суд апелляционной инстанции пришел к выводу об оставлении решения в обжалуемой части без изменения, апелляционной жалобы без удовлетворения.</w:t>
            </w:r>
          </w:p>
          <w:p w:rsidR="001428C2" w:rsidRPr="004E18DA" w:rsidRDefault="001428C2" w:rsidP="001428C2">
            <w:pPr>
              <w:autoSpaceDE w:val="0"/>
              <w:autoSpaceDN w:val="0"/>
              <w:adjustRightInd w:val="0"/>
              <w:spacing w:after="0" w:line="240" w:lineRule="auto"/>
              <w:ind w:firstLine="154"/>
              <w:jc w:val="both"/>
              <w:rPr>
                <w:rFonts w:ascii="Times New Roman" w:hAnsi="Times New Roman"/>
                <w:sz w:val="28"/>
                <w:szCs w:val="28"/>
              </w:rPr>
            </w:pPr>
            <w:r w:rsidRPr="004E18DA">
              <w:rPr>
                <w:rFonts w:ascii="Times New Roman" w:hAnsi="Times New Roman"/>
                <w:sz w:val="28"/>
                <w:szCs w:val="28"/>
              </w:rPr>
              <w:t>По мнению суда апелляционной инстанции, доводы Управления, изложенные в апелляционной жалобе, связанные с иной оценкой доказательств и иным толкованием норм материального права, не опровергают правильные выводы суда, уже были предметом судебного разбирательства в судей первой инстанции, им была дана соответствующая правовая оценка, и оснований для переоценки выводов суда не имеется.</w:t>
            </w:r>
          </w:p>
          <w:p w:rsidR="001428C2" w:rsidRPr="004E18DA" w:rsidRDefault="001428C2" w:rsidP="001428C2">
            <w:pPr>
              <w:autoSpaceDE w:val="0"/>
              <w:autoSpaceDN w:val="0"/>
              <w:adjustRightInd w:val="0"/>
              <w:spacing w:after="0" w:line="240" w:lineRule="auto"/>
              <w:ind w:firstLine="154"/>
              <w:jc w:val="both"/>
              <w:rPr>
                <w:rFonts w:ascii="Times New Roman" w:eastAsia="Times New Roman" w:hAnsi="Times New Roman" w:cs="Times New Roman"/>
                <w:sz w:val="28"/>
                <w:szCs w:val="28"/>
                <w:lang w:eastAsia="ar-SA"/>
              </w:rPr>
            </w:pPr>
            <w:r w:rsidRPr="004E18DA">
              <w:rPr>
                <w:rFonts w:ascii="Times New Roman" w:eastAsia="Times New Roman" w:hAnsi="Times New Roman" w:cs="Times New Roman"/>
                <w:sz w:val="28"/>
                <w:szCs w:val="28"/>
                <w:lang w:eastAsia="ar-SA"/>
              </w:rPr>
              <w:t xml:space="preserve">По пунктам 1, 3, 4, 5 представления суд кассационной инстанции пришел к выводу, что требуется проверка заявленных доводов, предполагающая исследование и оценку доказательств, дополнительное выяснение обстоятельств, что выходит за рамки полномочий суда кассационной инстанции, обжалуемые судебные акты в данной части отменены по основаниям, предусмотренным частью 1 статьи 288 АПК РФ, дело направлено на новое рассмотрение в суд первой инстанции. </w:t>
            </w:r>
          </w:p>
          <w:p w:rsidR="001428C2" w:rsidRPr="004E18DA" w:rsidRDefault="001428C2" w:rsidP="001428C2">
            <w:pPr>
              <w:autoSpaceDE w:val="0"/>
              <w:autoSpaceDN w:val="0"/>
              <w:adjustRightInd w:val="0"/>
              <w:spacing w:after="0" w:line="240" w:lineRule="auto"/>
              <w:ind w:firstLine="154"/>
              <w:jc w:val="both"/>
              <w:rPr>
                <w:rFonts w:ascii="Times New Roman" w:eastAsia="Times New Roman" w:hAnsi="Times New Roman" w:cs="Times New Roman"/>
                <w:sz w:val="28"/>
                <w:szCs w:val="28"/>
                <w:lang w:eastAsia="ar-SA"/>
              </w:rPr>
            </w:pPr>
            <w:r w:rsidRPr="004E18DA">
              <w:rPr>
                <w:rFonts w:ascii="Times New Roman" w:eastAsia="Times New Roman" w:hAnsi="Times New Roman" w:cs="Times New Roman"/>
                <w:sz w:val="28"/>
                <w:szCs w:val="28"/>
                <w:lang w:eastAsia="ar-SA"/>
              </w:rPr>
              <w:t>Суд кассационной инстанции по пунктам 6 и 7 представления указал, что выводы судов в этой части основаны на установленных обстоятельствах с учетом оценки представленных в материалы дела доказательств и заявленных доводов, верного распределения бремени доказывания обстоятельств и правильного применения норм материального права.</w:t>
            </w:r>
          </w:p>
          <w:p w:rsidR="004947EC" w:rsidRPr="004E18DA" w:rsidRDefault="001428C2" w:rsidP="001428C2">
            <w:pPr>
              <w:tabs>
                <w:tab w:val="left" w:pos="8364"/>
              </w:tabs>
              <w:spacing w:after="0" w:line="240" w:lineRule="auto"/>
              <w:ind w:firstLine="217"/>
              <w:jc w:val="both"/>
              <w:rPr>
                <w:rFonts w:ascii="Times New Roman" w:hAnsi="Times New Roman"/>
                <w:sz w:val="28"/>
                <w:szCs w:val="28"/>
              </w:rPr>
            </w:pPr>
            <w:r w:rsidRPr="004E18DA">
              <w:rPr>
                <w:rFonts w:ascii="Times New Roman" w:eastAsia="Times New Roman" w:hAnsi="Times New Roman" w:cs="Times New Roman"/>
                <w:sz w:val="28"/>
                <w:szCs w:val="28"/>
                <w:lang w:eastAsia="ar-SA"/>
              </w:rPr>
              <w:t>В части пунктов 6 и 7 представления судебные акты оставлены без изменения, кассационная жалоба без удовлетворения.</w:t>
            </w:r>
          </w:p>
        </w:tc>
      </w:tr>
      <w:tr w:rsidR="004947EC" w:rsidRPr="004E18DA" w:rsidTr="00B87159">
        <w:tc>
          <w:tcPr>
            <w:tcW w:w="3118" w:type="dxa"/>
            <w:tcBorders>
              <w:top w:val="single" w:sz="4" w:space="0" w:color="auto"/>
              <w:left w:val="single" w:sz="4" w:space="0" w:color="auto"/>
              <w:bottom w:val="single" w:sz="4" w:space="0" w:color="auto"/>
              <w:right w:val="single" w:sz="4" w:space="0" w:color="auto"/>
            </w:tcBorders>
          </w:tcPr>
          <w:p w:rsidR="004947EC" w:rsidRPr="004E18DA" w:rsidRDefault="004947EC"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lastRenderedPageBreak/>
              <w:t xml:space="preserve">5. Номер и дата дела </w:t>
            </w:r>
            <w:r w:rsidRPr="004E18DA">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4947EC" w:rsidRPr="004E18DA" w:rsidRDefault="001428C2"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cs="Times New Roman"/>
                <w:bCs/>
                <w:sz w:val="28"/>
                <w:szCs w:val="28"/>
              </w:rPr>
              <w:t xml:space="preserve">  Дело № 21-13/1-2022 от 17.01.2022</w:t>
            </w:r>
          </w:p>
        </w:tc>
      </w:tr>
    </w:tbl>
    <w:p w:rsidR="004947EC" w:rsidRPr="004E18DA" w:rsidRDefault="004947EC" w:rsidP="005676DC">
      <w:pPr>
        <w:autoSpaceDE w:val="0"/>
        <w:autoSpaceDN w:val="0"/>
        <w:adjustRightInd w:val="0"/>
        <w:spacing w:after="0" w:line="240" w:lineRule="auto"/>
        <w:ind w:firstLine="540"/>
        <w:jc w:val="both"/>
        <w:rPr>
          <w:rFonts w:ascii="Times New Roman" w:hAnsi="Times New Roman" w:cs="Times New Roman"/>
          <w:sz w:val="28"/>
          <w:szCs w:val="28"/>
        </w:rPr>
      </w:pPr>
    </w:p>
    <w:p w:rsidR="004947EC" w:rsidRPr="004E18DA" w:rsidRDefault="004947EC" w:rsidP="005676DC">
      <w:pPr>
        <w:autoSpaceDE w:val="0"/>
        <w:autoSpaceDN w:val="0"/>
        <w:adjustRightInd w:val="0"/>
        <w:spacing w:after="0" w:line="240" w:lineRule="auto"/>
        <w:ind w:firstLine="540"/>
        <w:jc w:val="both"/>
        <w:rPr>
          <w:rFonts w:ascii="Times New Roman" w:hAnsi="Times New Roman" w:cs="Times New Roman"/>
          <w:sz w:val="28"/>
          <w:szCs w:val="28"/>
        </w:rPr>
      </w:pPr>
    </w:p>
    <w:p w:rsidR="007F5AC1" w:rsidRPr="004E18DA" w:rsidRDefault="007F5AC1" w:rsidP="005676DC">
      <w:pPr>
        <w:autoSpaceDE w:val="0"/>
        <w:autoSpaceDN w:val="0"/>
        <w:adjustRightInd w:val="0"/>
        <w:spacing w:after="0" w:line="240" w:lineRule="auto"/>
        <w:ind w:firstLine="540"/>
        <w:jc w:val="both"/>
        <w:rPr>
          <w:rFonts w:ascii="Times New Roman" w:hAnsi="Times New Roman" w:cs="Times New Roman"/>
          <w:sz w:val="28"/>
          <w:szCs w:val="28"/>
        </w:rPr>
      </w:pPr>
      <w:r w:rsidRPr="004E18DA">
        <w:rPr>
          <w:rFonts w:ascii="Times New Roman" w:hAnsi="Times New Roman" w:cs="Times New Roman"/>
          <w:sz w:val="28"/>
          <w:szCs w:val="28"/>
        </w:rPr>
        <w:lastRenderedPageBreak/>
        <w:t>3.2. Дел</w:t>
      </w:r>
      <w:r w:rsidR="00184982" w:rsidRPr="004E18DA">
        <w:rPr>
          <w:rFonts w:ascii="Times New Roman" w:hAnsi="Times New Roman" w:cs="Times New Roman"/>
          <w:sz w:val="28"/>
          <w:szCs w:val="28"/>
        </w:rPr>
        <w:t xml:space="preserve">а </w:t>
      </w:r>
      <w:r w:rsidRPr="004E18DA">
        <w:rPr>
          <w:rFonts w:ascii="Times New Roman" w:hAnsi="Times New Roman" w:cs="Times New Roman"/>
          <w:sz w:val="28"/>
          <w:szCs w:val="28"/>
        </w:rPr>
        <w:t>по обжалованию постановлени</w:t>
      </w:r>
      <w:r w:rsidR="00184982" w:rsidRPr="004E18DA">
        <w:rPr>
          <w:rFonts w:ascii="Times New Roman" w:hAnsi="Times New Roman" w:cs="Times New Roman"/>
          <w:sz w:val="28"/>
          <w:szCs w:val="28"/>
        </w:rPr>
        <w:t>й</w:t>
      </w:r>
      <w:r w:rsidRPr="004E18DA">
        <w:rPr>
          <w:rFonts w:ascii="Times New Roman" w:hAnsi="Times New Roman" w:cs="Times New Roman"/>
          <w:sz w:val="28"/>
          <w:szCs w:val="28"/>
        </w:rPr>
        <w:t xml:space="preserve"> о привлечении объектов контроля </w:t>
      </w:r>
      <w:r w:rsidRPr="004E18DA">
        <w:rPr>
          <w:rFonts w:ascii="Times New Roman" w:hAnsi="Times New Roman" w:cs="Times New Roman"/>
          <w:sz w:val="28"/>
          <w:szCs w:val="28"/>
        </w:rPr>
        <w:br/>
        <w:t>к административной ответственности.</w:t>
      </w:r>
    </w:p>
    <w:p w:rsidR="00B6314F" w:rsidRPr="004E18DA" w:rsidRDefault="00B6314F"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Постановлением о назначении административного наказания от 21.02.2022 № 93-14-07/2022-28, вынесенным заместителем руководителя Управления, Сергиенко Олег Евгеньевич, занимавший должность начальника административно-хозяйственного отдела «Культурно-просветительского центра Вооруженных сил Российской Федерации» – филиала Федерального государственного бюджетного учреждения культуры и искусства «Центральный музей Вооруженных сил Российской Федерации» (далее – Филиал ФГБУ «ЦМВС РФ») признан виновным в совершении административного правонарушения, предусмотренном частью 2 статьи 7.29.3 Кодекса Российской Федерации об административных правонарушениях (далее – КоАП) и ему назначено наказание в виде административного штрафа в размере </w:t>
            </w:r>
            <w:r w:rsidRPr="004E18DA">
              <w:rPr>
                <w:rFonts w:ascii="Times New Roman" w:hAnsi="Times New Roman"/>
                <w:sz w:val="28"/>
                <w:szCs w:val="28"/>
              </w:rPr>
              <w:br/>
              <w:t>10 000 рублей.</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Обжалуя указанное постановление Сергиенко О.Е. ссылался на то, что он не входил в состав контрактной службы ФГБУ «ЦМВС РФ» и не осуществлял функции члена комиссии по осуществлению закупок.</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Поводом и основанием для возбуждения дела об административном правонарушении явились материалы проверки, проведенной Министерством обороны Российской Федерации (далее – Минобороны России) в рамках ведомственного контроля за соблюдением законодательства Российской Федерации о контрактной системе в сфере закупок, направленные в адрес Управления письмом от 03.11.2022 № 299/11/943ДСП. Указанные материалы содержали факты, указывающие на признаки события административного правонарушения, составление и рассмотрение протоколов по которым относится к компетенции Управления.</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Протокол об административном нарушении, предусмотренном частью 2 статьи 7.29.3 КоАП составлен 15.12.2021, которым было установлено, что Сергиенко Олегом Евгеньевичем не соблюден порядок обоснования начальной (максимальной) цены контракта (далее – НМЦК) по закупке на оказание услуг по санитарному содержанию зданий и наружной территории Филиала ФГБУ «ЦМВС РФ» № 0373100038621000007 (далее – Закупка) на сумму 18 926 021, 61 руб.</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lastRenderedPageBreak/>
              <w:t xml:space="preserve">Приказом от 13.04.2021 № 43 ФГБУ «ЦМВС РФ» Минобороны России утвердило документацию </w:t>
            </w:r>
            <w:r w:rsidRPr="004E18DA">
              <w:rPr>
                <w:rFonts w:ascii="Times New Roman" w:hAnsi="Times New Roman"/>
                <w:sz w:val="28"/>
                <w:szCs w:val="28"/>
              </w:rPr>
              <w:br/>
              <w:t xml:space="preserve">о проведении закрытого аукциона на оказание услуг по санитарному содержанию зданий и наружной территории Филиала ФГБУ «ЦМВС РФ».  </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При обосновании НМЦК Закупки Филиалом ФГБУ «ЦМВС РФ» были использованы коммерческие предложения: ООО «Промышленно-посредническое предприятие», ООО «Партнер», ООО «Строй Век Сити».</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Согласно материалам проверки Минобороны РФ в раздел </w:t>
            </w:r>
            <w:r w:rsidRPr="004E18DA">
              <w:rPr>
                <w:rFonts w:ascii="Times New Roman" w:hAnsi="Times New Roman"/>
                <w:sz w:val="28"/>
                <w:szCs w:val="28"/>
                <w:lang w:val="en-US"/>
              </w:rPr>
              <w:t>III</w:t>
            </w:r>
            <w:r w:rsidRPr="004E18DA">
              <w:rPr>
                <w:rFonts w:ascii="Times New Roman" w:hAnsi="Times New Roman"/>
                <w:sz w:val="28"/>
                <w:szCs w:val="28"/>
              </w:rPr>
              <w:t xml:space="preserve"> Аукционной документации (Техническая часть) Закупки неправомерно включены помещения павильонов №№ 1-4 общей площадью 194,80 м2, а также комплексных зданий (на парковке) №№ 1-4 общей площадью 729,20 м2, не относящиеся к недвижимому имуществу Филиала ФГБУ «ЦМВС РФ» на праве оперативного управления.</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Исходя из приказов Департамента имущественных отношений Министерства обороны Российской Федерации помещения павильонов №№ 1-4 общей площадью 194,80 м2, а также комплексных зданий </w:t>
            </w:r>
            <w:r w:rsidRPr="004E18DA">
              <w:rPr>
                <w:rFonts w:ascii="Times New Roman" w:hAnsi="Times New Roman"/>
                <w:sz w:val="28"/>
                <w:szCs w:val="28"/>
              </w:rPr>
              <w:br/>
              <w:t>№№ 1-4 общей площадью 729,20 м2 на момент обоснования НМЦК Закупки не закреплены за ФГБУ «ЦМВС РФ» Минобороны России на праве оперативного управления.</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Включение помещений павильонов №№ 1-4 общей площадью 194,80 м2, а также комплексных зданий </w:t>
            </w:r>
            <w:r w:rsidRPr="004E18DA">
              <w:rPr>
                <w:rFonts w:ascii="Times New Roman" w:hAnsi="Times New Roman"/>
                <w:sz w:val="28"/>
                <w:szCs w:val="28"/>
              </w:rPr>
              <w:br/>
              <w:t>№№ 1-4 общей площадью 729,20 м2 повлияло на общую стоимость оказываемой услуги по Закупке.</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Согласно пунктам 2.10 Должностной инструкции начальника административно-хозяйственного отдела Филиала ФГБУ «ЦМВС РФ», утвержденной 01.06.2020 в должностные обязанности начальника административно-хозяйственного отдела входит организация оформления необходимых документов для заключения договоров на оказание услуг.</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Регламентом согласования договоров, заключаемых с единственным поставщиком в ФГБУ «ЦМВС РФ» установлено, что начальник подразделения-инициатора обеспечивает представление при необходимости обоснования стоимости договора, подготовку и согласование технического задания, спецификаций, иных приложений к договору, несет ответственность за полноту, достоверность, актуальность сведений, представляемых для заключения договора.</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lastRenderedPageBreak/>
              <w:t>Все Технические задания составлены и подписаны начальником административно-хозяйственного отдела Филиала ФГБУ «ЦМВС РФ» Сергиенко О.Е.</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Таким образом, Сергиенко О.Е., занимавшим должность начальника административно-хозяйственного отдела Филиала ФГБУ «ЦМВС РФ», не соблюден порядок обоснования НМЦК, т.е. совершено административное правонарушение, ответственность за которое установлена частью 2 статьи 7.29.3 КоАП.</w:t>
            </w:r>
          </w:p>
        </w:tc>
      </w:tr>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lastRenderedPageBreak/>
              <w:t xml:space="preserve">2. Судебные акты </w:t>
            </w:r>
            <w:r w:rsidRPr="004E18DA">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rPr>
                <w:rFonts w:ascii="Times New Roman" w:hAnsi="Times New Roman" w:cs="Times New Roman"/>
                <w:sz w:val="28"/>
                <w:szCs w:val="28"/>
              </w:rPr>
            </w:pPr>
            <w:r w:rsidRPr="004E18DA">
              <w:rPr>
                <w:rFonts w:ascii="Times New Roman" w:hAnsi="Times New Roman" w:cs="Times New Roman"/>
                <w:sz w:val="28"/>
                <w:szCs w:val="28"/>
              </w:rPr>
              <w:t>–</w:t>
            </w:r>
          </w:p>
        </w:tc>
      </w:tr>
      <w:tr w:rsidR="00B6314F" w:rsidRPr="004E18DA" w:rsidTr="00B87159">
        <w:trPr>
          <w:trHeight w:val="2143"/>
        </w:trPr>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 xml:space="preserve">3. Судебные акты </w:t>
            </w:r>
            <w:r w:rsidRPr="004E18DA">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Дело № 12-4266/2022, решение Тверского районного суда города Москвы 03.11.2022.</w:t>
            </w:r>
          </w:p>
        </w:tc>
      </w:tr>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В ходе рассмотрения дела суд пришел к выводу о том, что действия Сергиенко О.Е., занимавшего должность начальника административно-хозяйственного отдела Филиала ФГБУ «ЦМВС РФ» правильно квалифицированы Управлением по части 2 статьи 7.29.3 КоАП, а доводы жалобы, поданной Сергиенко О.Е. </w:t>
            </w:r>
            <w:r w:rsidRPr="004E18DA">
              <w:rPr>
                <w:rFonts w:ascii="Times New Roman" w:hAnsi="Times New Roman"/>
                <w:sz w:val="28"/>
                <w:szCs w:val="28"/>
              </w:rPr>
              <w:br/>
              <w:t>не опровергают выводы о его виновности в совершении указанного административного правонарушения.</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Административное наказание назначено в пределах санкции части 2 статьи 7.29.3 КоАП и в соответствии с требованиями статей 3.1, 3.5, 4.1 КоАП.</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Факт совершения административного правонарушения и его виновность подтверждены совокупностью предоставленных суду доказательств, которые признаны судом допустимыми и достоверными, а именно: </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протокол об административном правонарушении от 15.12.2021, копия должностной инструкции начальника административно-хозяйственного отдела, регламент согласования договоров, заключаемых с единственным </w:t>
            </w:r>
            <w:r w:rsidRPr="004E18DA">
              <w:rPr>
                <w:rFonts w:ascii="Times New Roman" w:hAnsi="Times New Roman"/>
                <w:sz w:val="28"/>
                <w:szCs w:val="28"/>
              </w:rPr>
              <w:lastRenderedPageBreak/>
              <w:t>поставщиком в ФГБУ «ЦМВС РФ», приказ о проведении закрытого аукциона на оказание услуг по санитарному содержанию зданий и наружной территории Филиала ФГБУ «ЦМВС РФ», протокол согласования НМЦК от 24.06.2021, техническое задание с приложениями, государственным контрактом и иные материалы, содержащиеся в деле.</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Решением Тверского районного суда города Москвы постановление заместителя руководителя Управления от 21.02.2022 № 93-14-07/2022-28 оставлено без изменений, а жалоба Сергиенко О.Е. без удовлетворения.</w:t>
            </w:r>
          </w:p>
        </w:tc>
      </w:tr>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lastRenderedPageBreak/>
              <w:t xml:space="preserve">5. Номер и дата дела </w:t>
            </w:r>
            <w:r w:rsidRPr="004E18DA">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Дело № 21-13/32-2022 от 14.09.2022</w:t>
            </w:r>
          </w:p>
        </w:tc>
      </w:tr>
    </w:tbl>
    <w:p w:rsidR="00B6314F" w:rsidRPr="004E18DA" w:rsidRDefault="00B6314F"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1. Обстоятельства дел</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Постановлениями о назначении административного наказания от 21.02.2022 №№ 93-14-07/2022-26, </w:t>
            </w:r>
            <w:r w:rsidRPr="004E18DA">
              <w:rPr>
                <w:rFonts w:ascii="Times New Roman" w:hAnsi="Times New Roman"/>
                <w:sz w:val="28"/>
                <w:szCs w:val="28"/>
              </w:rPr>
              <w:br/>
              <w:t xml:space="preserve">93-14-07/2022-27, вынесенными заместителем руководителя </w:t>
            </w:r>
            <w:r w:rsidR="00572D29" w:rsidRPr="004E18DA">
              <w:rPr>
                <w:rFonts w:ascii="Times New Roman" w:hAnsi="Times New Roman"/>
                <w:sz w:val="28"/>
                <w:szCs w:val="28"/>
              </w:rPr>
              <w:t>Управления</w:t>
            </w:r>
            <w:r w:rsidRPr="004E18DA">
              <w:rPr>
                <w:rFonts w:ascii="Times New Roman" w:hAnsi="Times New Roman"/>
                <w:sz w:val="28"/>
                <w:szCs w:val="28"/>
              </w:rPr>
              <w:t>, Бужин Александр Владимирович, занимавший должность начальника эксплуатационно-технического отдела Филиала ФГБУ «ЦМВС РФ» признан виновным в совершении административных правонарушений, предусмотренных частью 2 статьи 7.29 КоАП.</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Поводом и основанием для возбуждения дела об административных правонарушениях явились материалы проверки, проведенной Министерством обороны Российской Федерации (далее – Минобороны России) в рамках ведомственного контроля за соблюдением законодательства Российской Федерации о контрактной системе в сфере закупок, направленные в адрес Управления письмом от 03.11.2022 № 299/11/943ДСП. Указанные материалы содержали факты, указывающие на признаки события административного правонарушения, составление и рассмотрение протоколов по которым относится к компетенции Управления.</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Обжалуя постановления Бужин А.В.  ссылался на то, что он с 19.04.2021 по 31.10.2021 занимал должность начальника эксплуатационно-технического отдела Культурно-просветительного центра Вооруженных сил РФ филиала ФГБУ «ЦМВС РФ» Минобороны России.</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Приказами от 11.06.2021 № 68, от 13.08.2021 № 103 ФГБУ «ЦМВС РФ» Минобороны России утвердило </w:t>
            </w:r>
            <w:r w:rsidRPr="004E18DA">
              <w:rPr>
                <w:rFonts w:ascii="Times New Roman" w:hAnsi="Times New Roman"/>
                <w:sz w:val="28"/>
                <w:szCs w:val="28"/>
              </w:rPr>
              <w:lastRenderedPageBreak/>
              <w:t>документацию о проведении закрытых аукционов на оказание услуг по комплексному техническому обслуживанию зданий и сооружений Филиала ФГБУ «ЦМВС РФ».</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При обосновании НМЦК закупок </w:t>
            </w:r>
            <w:r w:rsidRPr="004E18DA">
              <w:rPr>
                <w:rFonts w:ascii="Times New Roman" w:hAnsi="Times New Roman"/>
                <w:sz w:val="28"/>
                <w:szCs w:val="28"/>
              </w:rPr>
              <w:br/>
              <w:t>№№ 0373100038621000020, 037310003862100001 Филиалом ФГБУ «ЦМВС РФ» применялся метод сопоставимых рыночных цен с использованием коммерческих предложений (содержатся в материалах дел об административных правонарушениях).</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Исходя из приказов Департамента имущественных отношений Министерства обороны Российской Федерации помещения павильонов №№ 1-4 общей площадью 194,80 м2, а также комплексных зданий </w:t>
            </w:r>
            <w:r w:rsidRPr="004E18DA">
              <w:rPr>
                <w:rFonts w:ascii="Times New Roman" w:hAnsi="Times New Roman"/>
                <w:sz w:val="28"/>
                <w:szCs w:val="28"/>
              </w:rPr>
              <w:br/>
              <w:t xml:space="preserve">№№ 1-4 общей площадью 729,20 м2 на момент обоснования НМЦК закупок не закреплены за ФГБУ «ЦМВС РФ» Минобороны России на праве оперативного управления. В аукционную документацию закупок (Техническая часть) Филиалом ФГБУ «ЦМВС РФ» включены помещения павильонов №№ 1-4 общей площадью 194,80 м2, а также комплексных зданий </w:t>
            </w:r>
            <w:r w:rsidRPr="004E18DA">
              <w:rPr>
                <w:rFonts w:ascii="Times New Roman" w:hAnsi="Times New Roman"/>
                <w:sz w:val="28"/>
                <w:szCs w:val="28"/>
              </w:rPr>
              <w:br/>
              <w:t>№№ 1-4 общей площадью 729,20 м2, не относящиеся к недвижимому имуществу Филиала ФГБУ «ЦМВС РФ» на праве оперативного управления. Включение помещений павильонов №№ 1-4 общей площадью 194,80 м2, а также комплексных зданий №№ 1-4 общей площадью 729,20 м2 повлияло на общую стоимость оказываемых услуг по закупкам.</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Приказом Филиала ФГБУ «ЦМВС РФ» от 19.04.2021 </w:t>
            </w:r>
            <w:r w:rsidRPr="004E18DA">
              <w:rPr>
                <w:rFonts w:ascii="Times New Roman" w:hAnsi="Times New Roman"/>
                <w:sz w:val="28"/>
                <w:szCs w:val="28"/>
              </w:rPr>
              <w:br/>
              <w:t>№ 56-лс Бужин А.В. принят на должность начальника эксплуатационно-технического отдела Филиала ФГБУ «ЦМВС РФ».</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Приказом Филиала ФГБУ «ЦМВС РФ» от 20.10.2021 </w:t>
            </w:r>
            <w:r w:rsidRPr="004E18DA">
              <w:rPr>
                <w:rFonts w:ascii="Times New Roman" w:hAnsi="Times New Roman"/>
                <w:sz w:val="28"/>
                <w:szCs w:val="28"/>
              </w:rPr>
              <w:br/>
              <w:t>№ 201-лс Бужин А.В. уволен 31.10.2021, в связи с ликвидацией Филиала ФГБУ «ЦМВС РФ».</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Согласно пунктам 2.10, 2.16 Должностной инструкции начальника эксплуатационно-технического отдела Филиала ФГБУ «ЦМВС РФ», утвержденной 20.05.2020 в должностные обязанности начальника эксплуатационно-технического отдела входит участие в составлении технических заданий на проектирование новых, а также реконструкцию, техническое перевооружение, капитальный ремонт и модернизацию систем и объектов </w:t>
            </w:r>
            <w:r w:rsidRPr="004E18DA">
              <w:rPr>
                <w:rFonts w:ascii="Times New Roman" w:hAnsi="Times New Roman"/>
                <w:sz w:val="28"/>
                <w:szCs w:val="28"/>
              </w:rPr>
              <w:lastRenderedPageBreak/>
              <w:t>филиала, а также участие в оформлении и заключении договоров со сторонними организациями.</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В соответствии с Регламентом согласования договоров, заключаемых с единственным поставщиком, </w:t>
            </w:r>
            <w:r w:rsidRPr="004E18DA">
              <w:rPr>
                <w:rFonts w:ascii="Times New Roman" w:hAnsi="Times New Roman"/>
                <w:sz w:val="28"/>
                <w:szCs w:val="28"/>
              </w:rPr>
              <w:br/>
              <w:t xml:space="preserve">в соответствии с которым, на основании пунктов 3.1, 3.2, подразделение-инициатор закупки подготавливает заявку-обоснование с указанием предмета договора, цены и иных существенных условий и передает материалы </w:t>
            </w:r>
            <w:r w:rsidRPr="004E18DA">
              <w:rPr>
                <w:rFonts w:ascii="Times New Roman" w:hAnsi="Times New Roman"/>
                <w:sz w:val="28"/>
                <w:szCs w:val="28"/>
              </w:rPr>
              <w:br/>
              <w:t>в обоснование цены договора контрактному управляющему.</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Пунктом 3 приложения № 2 к Регламенту установлено, что начальник подразделения-инициатора обеспечивает представление при необходимости обоснования стоимости договора, подготовку и согласование технического задания, спецификаций, иных приложений к договору, несет ответственность за полноту, достоверность, актуальность сведений, представляемых для заключения договора.</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В силу пунктов 3.7, 3.9 Регламента техническое задание, спецификация и иные приложения к договору готовятся подразделением инициатором закупок.</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Все Технические задания составлены и подписаны начальником эксплуатационно-технического отдела Филиала ФГБУ «ЦМВС РФ» А.В. Бужиным.</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В жалобе Бужина А.В. на постановления об административных правонарушениях на странице 2 указано, что «ответственным должностным лицом субъекта контроля признается лицо, утвердившее план закупок или план-график закупок, размещенный в единой информационной системе в сфере закупок (ЕИС)». </w:t>
            </w:r>
          </w:p>
          <w:p w:rsidR="00B6314F" w:rsidRPr="004E18DA" w:rsidRDefault="00B6314F" w:rsidP="003015F7">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ЕИС является административным правонарушением, предусмотренным частью 4 статьи 7.29.3 КоАП.</w:t>
            </w:r>
          </w:p>
        </w:tc>
      </w:tr>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lastRenderedPageBreak/>
              <w:t xml:space="preserve">2. Судебные акты </w:t>
            </w:r>
            <w:r w:rsidRPr="004E18DA">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rPr>
                <w:rFonts w:ascii="Times New Roman" w:hAnsi="Times New Roman" w:cs="Times New Roman"/>
                <w:sz w:val="28"/>
                <w:szCs w:val="28"/>
              </w:rPr>
            </w:pPr>
            <w:r w:rsidRPr="004E18DA">
              <w:rPr>
                <w:rFonts w:ascii="Times New Roman" w:hAnsi="Times New Roman" w:cs="Times New Roman"/>
                <w:sz w:val="28"/>
                <w:szCs w:val="28"/>
              </w:rPr>
              <w:t>–</w:t>
            </w:r>
          </w:p>
        </w:tc>
      </w:tr>
      <w:tr w:rsidR="00B6314F" w:rsidRPr="004E18DA" w:rsidTr="003015F7">
        <w:trPr>
          <w:trHeight w:val="2269"/>
        </w:trPr>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lastRenderedPageBreak/>
              <w:t xml:space="preserve">3. Судебные акты </w:t>
            </w:r>
            <w:r w:rsidRPr="004E18DA">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Дело № 12-2465/2022, решение Тверского районного суда города Москвы 13.10.2022;</w:t>
            </w:r>
          </w:p>
          <w:p w:rsidR="00B6314F" w:rsidRPr="004E18DA"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4E18DA">
              <w:rPr>
                <w:rFonts w:ascii="Times New Roman" w:hAnsi="Times New Roman" w:cs="Times New Roman"/>
                <w:sz w:val="28"/>
                <w:szCs w:val="28"/>
              </w:rPr>
              <w:t xml:space="preserve">Дело № 12-2466/2022, решение Тверского районного суда города Москвы 13.10.2022.  </w:t>
            </w:r>
            <w:r w:rsidRPr="004E18DA">
              <w:rPr>
                <w:rStyle w:val="ac"/>
                <w:rFonts w:ascii="Times New Roman" w:hAnsi="Times New Roman" w:cs="Times New Roman"/>
                <w:sz w:val="28"/>
                <w:szCs w:val="28"/>
              </w:rPr>
              <w:footnoteReference w:id="1"/>
            </w:r>
          </w:p>
        </w:tc>
      </w:tr>
      <w:tr w:rsidR="00B6314F" w:rsidRPr="004E18DA" w:rsidTr="003015F7">
        <w:trPr>
          <w:trHeight w:val="8299"/>
        </w:trPr>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В ходе рассмотрения дел об административных правонарушениях должностным лицом МКРУ ФК установлены все юридически значимые обстоятельства совершения административных правонарушений, предусмотренных частью 2 статьи 7.29.3 КоАП. Доводы жалоб, поданных Бужины</w:t>
            </w:r>
            <w:r w:rsidR="003015F7">
              <w:rPr>
                <w:rFonts w:ascii="Times New Roman" w:hAnsi="Times New Roman"/>
                <w:sz w:val="28"/>
                <w:szCs w:val="28"/>
              </w:rPr>
              <w:t xml:space="preserve">м А.В. </w:t>
            </w:r>
            <w:r w:rsidRPr="004E18DA">
              <w:rPr>
                <w:rFonts w:ascii="Times New Roman" w:hAnsi="Times New Roman"/>
                <w:sz w:val="28"/>
                <w:szCs w:val="28"/>
              </w:rPr>
              <w:t>не опровергают выводы о его виновности в совершении указанных административных правонарушениях.</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Административные наказания назначены в пределах санкции части 2 статьи 7.29.3 КоАП и в соответствии с требованиями статей 3.1, 3.5, 4.1 КоАП.</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Вопреки доводам жалоб все фактические обстоятельства дел, подлежащие доказыванию должностным лицом МКРУ ФК установлены верно, они полностью подтверждены представленными в суд доказательствами.</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Содержащиеся в материалах дел доказательства о совершении Бужиным А.В. административных правонарушений свидетельствовали о том, что у Бужина А.В. имелась возможность для соблюдения законодательства, за нарушение которого предусмотрена ответственность по части 2 статьи 7.29.3 КоАП.</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Решениями Тверского районного суда города Москвы постановления заместителя руководителя Управления от 21.02.2022 №№ 93-14-07/2022-26, 93-14-07/2022-27 оставлены без изменений, а жалобы Бужина А.В. без удовлетворения.</w:t>
            </w:r>
          </w:p>
        </w:tc>
      </w:tr>
      <w:tr w:rsidR="00B6314F" w:rsidRPr="004E18DA" w:rsidTr="00B87159">
        <w:tc>
          <w:tcPr>
            <w:tcW w:w="3118"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 xml:space="preserve">5. Номер и дата дел </w:t>
            </w:r>
            <w:r w:rsidRPr="004E18DA">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Дело № 21-13/10-2022 от 18.04.2022;</w:t>
            </w:r>
          </w:p>
          <w:p w:rsidR="00B6314F" w:rsidRPr="004E18DA" w:rsidRDefault="00B6314F" w:rsidP="00B87159">
            <w:pPr>
              <w:tabs>
                <w:tab w:val="left" w:pos="8364"/>
              </w:tabs>
              <w:spacing w:after="0" w:line="240" w:lineRule="auto"/>
              <w:ind w:firstLine="217"/>
              <w:jc w:val="both"/>
              <w:rPr>
                <w:rFonts w:ascii="Times New Roman" w:hAnsi="Times New Roman"/>
                <w:sz w:val="28"/>
                <w:szCs w:val="28"/>
              </w:rPr>
            </w:pPr>
            <w:r w:rsidRPr="004E18DA">
              <w:rPr>
                <w:rFonts w:ascii="Times New Roman" w:hAnsi="Times New Roman"/>
                <w:sz w:val="28"/>
                <w:szCs w:val="28"/>
              </w:rPr>
              <w:t>Дело № 21-13/11-2022 от 18.04.2022.</w:t>
            </w:r>
          </w:p>
        </w:tc>
      </w:tr>
    </w:tbl>
    <w:p w:rsidR="007F5AC1" w:rsidRPr="00061488" w:rsidRDefault="007F5AC1" w:rsidP="003015F7">
      <w:pPr>
        <w:autoSpaceDE w:val="0"/>
        <w:autoSpaceDN w:val="0"/>
        <w:adjustRightInd w:val="0"/>
        <w:spacing w:after="0" w:line="240" w:lineRule="auto"/>
        <w:jc w:val="both"/>
        <w:rPr>
          <w:rFonts w:ascii="Times New Roman" w:hAnsi="Times New Roman" w:cs="Times New Roman"/>
          <w:sz w:val="28"/>
          <w:szCs w:val="28"/>
        </w:rPr>
      </w:pPr>
    </w:p>
    <w:sectPr w:rsidR="007F5AC1" w:rsidRPr="00061488" w:rsidSect="00FE635B">
      <w:headerReference w:type="default" r:id="rId9"/>
      <w:footnotePr>
        <w:pos w:val="beneathText"/>
      </w:footnotePr>
      <w:endnotePr>
        <w:numFmt w:val="chicago"/>
      </w:endnotePr>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3EC" w:rsidRDefault="00C153EC" w:rsidP="0022037B">
      <w:pPr>
        <w:spacing w:after="0" w:line="240" w:lineRule="auto"/>
      </w:pPr>
      <w:r>
        <w:separator/>
      </w:r>
    </w:p>
  </w:endnote>
  <w:endnote w:type="continuationSeparator" w:id="0">
    <w:p w:rsidR="00C153EC" w:rsidRDefault="00C153EC" w:rsidP="002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3EC" w:rsidRDefault="00C153EC" w:rsidP="0022037B">
      <w:pPr>
        <w:spacing w:after="0" w:line="240" w:lineRule="auto"/>
      </w:pPr>
      <w:r>
        <w:separator/>
      </w:r>
    </w:p>
  </w:footnote>
  <w:footnote w:type="continuationSeparator" w:id="0">
    <w:p w:rsidR="00C153EC" w:rsidRDefault="00C153EC" w:rsidP="0022037B">
      <w:pPr>
        <w:spacing w:after="0" w:line="240" w:lineRule="auto"/>
      </w:pPr>
      <w:r>
        <w:continuationSeparator/>
      </w:r>
    </w:p>
  </w:footnote>
  <w:footnote w:id="1">
    <w:p w:rsidR="00B6314F" w:rsidRPr="00572D29" w:rsidRDefault="00B6314F" w:rsidP="00572D29">
      <w:pPr>
        <w:pStyle w:val="aa"/>
        <w:jc w:val="both"/>
        <w:rPr>
          <w:rFonts w:ascii="Times New Roman" w:hAnsi="Times New Roman" w:cs="Times New Roman"/>
          <w:sz w:val="28"/>
          <w:szCs w:val="28"/>
        </w:rPr>
      </w:pPr>
      <w:r w:rsidRPr="00572D29">
        <w:rPr>
          <w:rStyle w:val="ac"/>
          <w:rFonts w:ascii="Times New Roman" w:hAnsi="Times New Roman" w:cs="Times New Roman"/>
          <w:sz w:val="24"/>
          <w:szCs w:val="24"/>
        </w:rPr>
        <w:footnoteRef/>
      </w:r>
      <w:r w:rsidRPr="00572D29">
        <w:rPr>
          <w:rFonts w:ascii="Times New Roman" w:hAnsi="Times New Roman" w:cs="Times New Roman"/>
          <w:sz w:val="24"/>
          <w:szCs w:val="24"/>
        </w:rPr>
        <w:t xml:space="preserve"> Информация о судебн</w:t>
      </w:r>
      <w:r w:rsidR="00572D29">
        <w:rPr>
          <w:rFonts w:ascii="Times New Roman" w:hAnsi="Times New Roman" w:cs="Times New Roman"/>
          <w:sz w:val="24"/>
          <w:szCs w:val="24"/>
        </w:rPr>
        <w:t>ых актах</w:t>
      </w:r>
      <w:r w:rsidRPr="00572D29">
        <w:rPr>
          <w:rFonts w:ascii="Times New Roman" w:hAnsi="Times New Roman" w:cs="Times New Roman"/>
          <w:sz w:val="24"/>
          <w:szCs w:val="24"/>
        </w:rPr>
        <w:t xml:space="preserve"> не была включена в Обзор судебной практики за </w:t>
      </w:r>
      <w:r w:rsidRPr="00572D29">
        <w:rPr>
          <w:rFonts w:ascii="Times New Roman" w:hAnsi="Times New Roman" w:cs="Times New Roman"/>
          <w:sz w:val="24"/>
          <w:szCs w:val="24"/>
          <w:lang w:val="en-US"/>
        </w:rPr>
        <w:t>IV</w:t>
      </w:r>
      <w:r w:rsidRPr="00572D29">
        <w:rPr>
          <w:rFonts w:ascii="Times New Roman" w:hAnsi="Times New Roman" w:cs="Times New Roman"/>
          <w:sz w:val="24"/>
          <w:szCs w:val="24"/>
        </w:rPr>
        <w:t xml:space="preserve"> квартал 2022 года, так как решения Тверского районного суда города Москвы от 13.10.2022 (дата вступления в законную силу – 23.12.2022) поступил</w:t>
      </w:r>
      <w:r w:rsidR="00572D29">
        <w:rPr>
          <w:rFonts w:ascii="Times New Roman" w:hAnsi="Times New Roman" w:cs="Times New Roman"/>
          <w:sz w:val="24"/>
          <w:szCs w:val="24"/>
        </w:rPr>
        <w:t>и</w:t>
      </w:r>
      <w:r w:rsidRPr="00572D29">
        <w:rPr>
          <w:rFonts w:ascii="Times New Roman" w:hAnsi="Times New Roman" w:cs="Times New Roman"/>
          <w:sz w:val="24"/>
          <w:szCs w:val="24"/>
        </w:rPr>
        <w:t xml:space="preserve"> в Управление 30.01.2023 на основании заявлений о выдаче копий судебных актов</w:t>
      </w:r>
      <w:r w:rsidRPr="00572D29">
        <w:rPr>
          <w:rFonts w:ascii="Times New Roman" w:hAnsi="Times New Roman" w:cs="Times New Roman"/>
          <w:sz w:val="28"/>
          <w:szCs w:val="2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497796"/>
      <w:docPartObj>
        <w:docPartGallery w:val="Page Numbers (Top of Page)"/>
        <w:docPartUnique/>
      </w:docPartObj>
    </w:sdtPr>
    <w:sdtEndPr>
      <w:rPr>
        <w:rFonts w:ascii="Times New Roman" w:hAnsi="Times New Roman" w:cs="Times New Roman"/>
        <w:sz w:val="28"/>
        <w:szCs w:val="28"/>
      </w:rPr>
    </w:sdtEndPr>
    <w:sdtContent>
      <w:p w:rsidR="007011D0" w:rsidRPr="0056223B" w:rsidRDefault="007011D0">
        <w:pPr>
          <w:pStyle w:val="a3"/>
          <w:jc w:val="center"/>
          <w:rPr>
            <w:rFonts w:ascii="Times New Roman" w:hAnsi="Times New Roman" w:cs="Times New Roman"/>
            <w:sz w:val="28"/>
            <w:szCs w:val="28"/>
          </w:rPr>
        </w:pPr>
        <w:r w:rsidRPr="0056223B">
          <w:rPr>
            <w:rFonts w:ascii="Times New Roman" w:hAnsi="Times New Roman" w:cs="Times New Roman"/>
            <w:sz w:val="28"/>
            <w:szCs w:val="28"/>
          </w:rPr>
          <w:fldChar w:fldCharType="begin"/>
        </w:r>
        <w:r w:rsidRPr="0056223B">
          <w:rPr>
            <w:rFonts w:ascii="Times New Roman" w:hAnsi="Times New Roman" w:cs="Times New Roman"/>
            <w:sz w:val="28"/>
            <w:szCs w:val="28"/>
          </w:rPr>
          <w:instrText>PAGE   \* MERGEFORMAT</w:instrText>
        </w:r>
        <w:r w:rsidRPr="0056223B">
          <w:rPr>
            <w:rFonts w:ascii="Times New Roman" w:hAnsi="Times New Roman" w:cs="Times New Roman"/>
            <w:sz w:val="28"/>
            <w:szCs w:val="28"/>
          </w:rPr>
          <w:fldChar w:fldCharType="separate"/>
        </w:r>
        <w:r w:rsidR="003F5858">
          <w:rPr>
            <w:rFonts w:ascii="Times New Roman" w:hAnsi="Times New Roman" w:cs="Times New Roman"/>
            <w:noProof/>
            <w:sz w:val="28"/>
            <w:szCs w:val="28"/>
          </w:rPr>
          <w:t>22</w:t>
        </w:r>
        <w:r w:rsidRPr="0056223B">
          <w:rPr>
            <w:rFonts w:ascii="Times New Roman" w:hAnsi="Times New Roman" w:cs="Times New Roman"/>
            <w:sz w:val="28"/>
            <w:szCs w:val="28"/>
          </w:rPr>
          <w:fldChar w:fldCharType="end"/>
        </w:r>
      </w:p>
    </w:sdtContent>
  </w:sdt>
  <w:p w:rsidR="007011D0" w:rsidRDefault="007011D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pos w:val="beneathText"/>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98"/>
    <w:rsid w:val="00007E69"/>
    <w:rsid w:val="00010089"/>
    <w:rsid w:val="0001528D"/>
    <w:rsid w:val="00035E58"/>
    <w:rsid w:val="000420D2"/>
    <w:rsid w:val="00044810"/>
    <w:rsid w:val="00046254"/>
    <w:rsid w:val="00046CE5"/>
    <w:rsid w:val="00051E69"/>
    <w:rsid w:val="00061457"/>
    <w:rsid w:val="00061488"/>
    <w:rsid w:val="00086DDF"/>
    <w:rsid w:val="000957F5"/>
    <w:rsid w:val="0009603C"/>
    <w:rsid w:val="000A6066"/>
    <w:rsid w:val="000A7B72"/>
    <w:rsid w:val="000C0E22"/>
    <w:rsid w:val="000E2FF3"/>
    <w:rsid w:val="000E76C6"/>
    <w:rsid w:val="000F0CD3"/>
    <w:rsid w:val="00113149"/>
    <w:rsid w:val="001212C1"/>
    <w:rsid w:val="001428C2"/>
    <w:rsid w:val="00146C88"/>
    <w:rsid w:val="00150FD0"/>
    <w:rsid w:val="0015766E"/>
    <w:rsid w:val="001643E8"/>
    <w:rsid w:val="00184982"/>
    <w:rsid w:val="00192939"/>
    <w:rsid w:val="001B1AFB"/>
    <w:rsid w:val="001B6178"/>
    <w:rsid w:val="001E2806"/>
    <w:rsid w:val="001E4769"/>
    <w:rsid w:val="001F18F9"/>
    <w:rsid w:val="001F1F8F"/>
    <w:rsid w:val="001F7FA0"/>
    <w:rsid w:val="002064DE"/>
    <w:rsid w:val="00213BDC"/>
    <w:rsid w:val="002165ED"/>
    <w:rsid w:val="00217A3E"/>
    <w:rsid w:val="0022037B"/>
    <w:rsid w:val="00230135"/>
    <w:rsid w:val="0023140D"/>
    <w:rsid w:val="00232B69"/>
    <w:rsid w:val="002352D2"/>
    <w:rsid w:val="00253A19"/>
    <w:rsid w:val="002568B0"/>
    <w:rsid w:val="0026137F"/>
    <w:rsid w:val="00287EB3"/>
    <w:rsid w:val="00295BD1"/>
    <w:rsid w:val="00296DC1"/>
    <w:rsid w:val="002A3402"/>
    <w:rsid w:val="002B1FD9"/>
    <w:rsid w:val="002B2C5D"/>
    <w:rsid w:val="002B3F4E"/>
    <w:rsid w:val="002C00C6"/>
    <w:rsid w:val="002C2259"/>
    <w:rsid w:val="002D34DD"/>
    <w:rsid w:val="002D4347"/>
    <w:rsid w:val="002D7E33"/>
    <w:rsid w:val="002F175F"/>
    <w:rsid w:val="002F3B1E"/>
    <w:rsid w:val="003015F7"/>
    <w:rsid w:val="00305CD8"/>
    <w:rsid w:val="00334E5E"/>
    <w:rsid w:val="00350DB2"/>
    <w:rsid w:val="003651F6"/>
    <w:rsid w:val="0037250E"/>
    <w:rsid w:val="0038333A"/>
    <w:rsid w:val="003877EF"/>
    <w:rsid w:val="003A6F4C"/>
    <w:rsid w:val="003C029F"/>
    <w:rsid w:val="003C3F15"/>
    <w:rsid w:val="003F3914"/>
    <w:rsid w:val="003F5858"/>
    <w:rsid w:val="00410D54"/>
    <w:rsid w:val="004264AE"/>
    <w:rsid w:val="00455AB5"/>
    <w:rsid w:val="00463F04"/>
    <w:rsid w:val="00484483"/>
    <w:rsid w:val="004947EC"/>
    <w:rsid w:val="004A1F16"/>
    <w:rsid w:val="004A6FA0"/>
    <w:rsid w:val="004D25C9"/>
    <w:rsid w:val="004E18DA"/>
    <w:rsid w:val="004E2C49"/>
    <w:rsid w:val="005031A5"/>
    <w:rsid w:val="005046F7"/>
    <w:rsid w:val="00537655"/>
    <w:rsid w:val="0054312F"/>
    <w:rsid w:val="00547893"/>
    <w:rsid w:val="005539B4"/>
    <w:rsid w:val="005558DF"/>
    <w:rsid w:val="00560A29"/>
    <w:rsid w:val="0056223B"/>
    <w:rsid w:val="00564865"/>
    <w:rsid w:val="005676DC"/>
    <w:rsid w:val="00572D29"/>
    <w:rsid w:val="0058399F"/>
    <w:rsid w:val="00585EB5"/>
    <w:rsid w:val="00586098"/>
    <w:rsid w:val="00586FA7"/>
    <w:rsid w:val="005910BA"/>
    <w:rsid w:val="00593194"/>
    <w:rsid w:val="005971B9"/>
    <w:rsid w:val="005A2E56"/>
    <w:rsid w:val="005A78EA"/>
    <w:rsid w:val="005B0984"/>
    <w:rsid w:val="005C2FCD"/>
    <w:rsid w:val="005C79C7"/>
    <w:rsid w:val="005D0AE4"/>
    <w:rsid w:val="005D3568"/>
    <w:rsid w:val="005E17C5"/>
    <w:rsid w:val="005F07F6"/>
    <w:rsid w:val="005F20BF"/>
    <w:rsid w:val="00612D15"/>
    <w:rsid w:val="006239DC"/>
    <w:rsid w:val="0063531D"/>
    <w:rsid w:val="00643826"/>
    <w:rsid w:val="0064564F"/>
    <w:rsid w:val="006458F3"/>
    <w:rsid w:val="00651BEC"/>
    <w:rsid w:val="00654115"/>
    <w:rsid w:val="00655C9E"/>
    <w:rsid w:val="0068473E"/>
    <w:rsid w:val="00685B48"/>
    <w:rsid w:val="00696B3D"/>
    <w:rsid w:val="00697422"/>
    <w:rsid w:val="006A07C4"/>
    <w:rsid w:val="006A582B"/>
    <w:rsid w:val="006B2A57"/>
    <w:rsid w:val="006D7FAF"/>
    <w:rsid w:val="006E2AC3"/>
    <w:rsid w:val="006E6D22"/>
    <w:rsid w:val="006F258F"/>
    <w:rsid w:val="007011D0"/>
    <w:rsid w:val="00707286"/>
    <w:rsid w:val="00770414"/>
    <w:rsid w:val="0077200F"/>
    <w:rsid w:val="00781E8E"/>
    <w:rsid w:val="00786AB2"/>
    <w:rsid w:val="007A00C2"/>
    <w:rsid w:val="007A1C13"/>
    <w:rsid w:val="007A2289"/>
    <w:rsid w:val="007A38DC"/>
    <w:rsid w:val="007A483B"/>
    <w:rsid w:val="007D238C"/>
    <w:rsid w:val="007F363B"/>
    <w:rsid w:val="007F5AC1"/>
    <w:rsid w:val="007F763B"/>
    <w:rsid w:val="00824904"/>
    <w:rsid w:val="00831397"/>
    <w:rsid w:val="00831DC1"/>
    <w:rsid w:val="00841709"/>
    <w:rsid w:val="0084739D"/>
    <w:rsid w:val="008551AA"/>
    <w:rsid w:val="008731CF"/>
    <w:rsid w:val="00876EF9"/>
    <w:rsid w:val="00885978"/>
    <w:rsid w:val="00891925"/>
    <w:rsid w:val="00893F08"/>
    <w:rsid w:val="008A413F"/>
    <w:rsid w:val="008D7A9C"/>
    <w:rsid w:val="008E41C1"/>
    <w:rsid w:val="0091201A"/>
    <w:rsid w:val="009124CF"/>
    <w:rsid w:val="009330EB"/>
    <w:rsid w:val="0093746F"/>
    <w:rsid w:val="009438A3"/>
    <w:rsid w:val="00945332"/>
    <w:rsid w:val="009572D9"/>
    <w:rsid w:val="009761F7"/>
    <w:rsid w:val="009A21AA"/>
    <w:rsid w:val="009B1EAC"/>
    <w:rsid w:val="009B3B22"/>
    <w:rsid w:val="009B40EF"/>
    <w:rsid w:val="009B4919"/>
    <w:rsid w:val="009B79F9"/>
    <w:rsid w:val="009D6B03"/>
    <w:rsid w:val="009E0EFB"/>
    <w:rsid w:val="009E7802"/>
    <w:rsid w:val="009F66D4"/>
    <w:rsid w:val="00A0428D"/>
    <w:rsid w:val="00A04EA8"/>
    <w:rsid w:val="00A11B96"/>
    <w:rsid w:val="00A207EA"/>
    <w:rsid w:val="00A53422"/>
    <w:rsid w:val="00A657A8"/>
    <w:rsid w:val="00A75DF6"/>
    <w:rsid w:val="00A81C2B"/>
    <w:rsid w:val="00A84739"/>
    <w:rsid w:val="00A901FE"/>
    <w:rsid w:val="00A94769"/>
    <w:rsid w:val="00A95267"/>
    <w:rsid w:val="00AC1259"/>
    <w:rsid w:val="00AC40D5"/>
    <w:rsid w:val="00AC499F"/>
    <w:rsid w:val="00AD7DC8"/>
    <w:rsid w:val="00AE5463"/>
    <w:rsid w:val="00B36E21"/>
    <w:rsid w:val="00B40500"/>
    <w:rsid w:val="00B447CA"/>
    <w:rsid w:val="00B6314F"/>
    <w:rsid w:val="00B66744"/>
    <w:rsid w:val="00B6738D"/>
    <w:rsid w:val="00B7179D"/>
    <w:rsid w:val="00B729D2"/>
    <w:rsid w:val="00B75835"/>
    <w:rsid w:val="00B838FF"/>
    <w:rsid w:val="00B94341"/>
    <w:rsid w:val="00BA3991"/>
    <w:rsid w:val="00BC3A3C"/>
    <w:rsid w:val="00BC5219"/>
    <w:rsid w:val="00BE1691"/>
    <w:rsid w:val="00BF18DA"/>
    <w:rsid w:val="00BF79C9"/>
    <w:rsid w:val="00C13335"/>
    <w:rsid w:val="00C153EC"/>
    <w:rsid w:val="00C261DF"/>
    <w:rsid w:val="00C408F0"/>
    <w:rsid w:val="00C4367A"/>
    <w:rsid w:val="00C4604C"/>
    <w:rsid w:val="00C47A5A"/>
    <w:rsid w:val="00C53E3B"/>
    <w:rsid w:val="00C562D5"/>
    <w:rsid w:val="00C5646A"/>
    <w:rsid w:val="00C5696E"/>
    <w:rsid w:val="00C62067"/>
    <w:rsid w:val="00C87FFB"/>
    <w:rsid w:val="00C93781"/>
    <w:rsid w:val="00C95945"/>
    <w:rsid w:val="00CA56D9"/>
    <w:rsid w:val="00CA6613"/>
    <w:rsid w:val="00CB2F06"/>
    <w:rsid w:val="00CB3BF1"/>
    <w:rsid w:val="00CD1F1E"/>
    <w:rsid w:val="00CD21B4"/>
    <w:rsid w:val="00CF644E"/>
    <w:rsid w:val="00D00B69"/>
    <w:rsid w:val="00D100E5"/>
    <w:rsid w:val="00D13312"/>
    <w:rsid w:val="00D20510"/>
    <w:rsid w:val="00D243C7"/>
    <w:rsid w:val="00D2627F"/>
    <w:rsid w:val="00D318B2"/>
    <w:rsid w:val="00D46D38"/>
    <w:rsid w:val="00D47D18"/>
    <w:rsid w:val="00D6147B"/>
    <w:rsid w:val="00D63978"/>
    <w:rsid w:val="00D75141"/>
    <w:rsid w:val="00D84D4C"/>
    <w:rsid w:val="00D916DB"/>
    <w:rsid w:val="00DA13D1"/>
    <w:rsid w:val="00DA6B18"/>
    <w:rsid w:val="00DC18C6"/>
    <w:rsid w:val="00E12A5E"/>
    <w:rsid w:val="00E15B4A"/>
    <w:rsid w:val="00E16EB6"/>
    <w:rsid w:val="00E1754F"/>
    <w:rsid w:val="00E22247"/>
    <w:rsid w:val="00E235DD"/>
    <w:rsid w:val="00E32FC2"/>
    <w:rsid w:val="00E339E3"/>
    <w:rsid w:val="00E458B4"/>
    <w:rsid w:val="00E46AA3"/>
    <w:rsid w:val="00E74352"/>
    <w:rsid w:val="00E7608A"/>
    <w:rsid w:val="00E777D5"/>
    <w:rsid w:val="00E8746C"/>
    <w:rsid w:val="00E933DA"/>
    <w:rsid w:val="00EB4AA6"/>
    <w:rsid w:val="00EB4F48"/>
    <w:rsid w:val="00EB6CC1"/>
    <w:rsid w:val="00ED5319"/>
    <w:rsid w:val="00EE1737"/>
    <w:rsid w:val="00EE2E96"/>
    <w:rsid w:val="00EE603B"/>
    <w:rsid w:val="00EE6D74"/>
    <w:rsid w:val="00EF1636"/>
    <w:rsid w:val="00EF4200"/>
    <w:rsid w:val="00EF6ADB"/>
    <w:rsid w:val="00F01E1D"/>
    <w:rsid w:val="00F046FA"/>
    <w:rsid w:val="00F16A24"/>
    <w:rsid w:val="00F32384"/>
    <w:rsid w:val="00F41E67"/>
    <w:rsid w:val="00F46710"/>
    <w:rsid w:val="00F523E2"/>
    <w:rsid w:val="00F55991"/>
    <w:rsid w:val="00F60C6A"/>
    <w:rsid w:val="00F62C8E"/>
    <w:rsid w:val="00F71DEE"/>
    <w:rsid w:val="00F74137"/>
    <w:rsid w:val="00F74B6B"/>
    <w:rsid w:val="00F75033"/>
    <w:rsid w:val="00F762FC"/>
    <w:rsid w:val="00F83007"/>
    <w:rsid w:val="00F9726F"/>
    <w:rsid w:val="00FA6FCE"/>
    <w:rsid w:val="00FC4F3A"/>
    <w:rsid w:val="00FD5BDC"/>
    <w:rsid w:val="00FE539C"/>
    <w:rsid w:val="00FE635B"/>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D2098-153F-4A73-84AD-4E4A28BF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3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37B"/>
  </w:style>
  <w:style w:type="paragraph" w:styleId="a5">
    <w:name w:val="footer"/>
    <w:basedOn w:val="a"/>
    <w:link w:val="a6"/>
    <w:uiPriority w:val="99"/>
    <w:unhideWhenUsed/>
    <w:rsid w:val="002203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37B"/>
  </w:style>
  <w:style w:type="paragraph" w:styleId="a7">
    <w:name w:val="endnote text"/>
    <w:basedOn w:val="a"/>
    <w:link w:val="a8"/>
    <w:uiPriority w:val="99"/>
    <w:semiHidden/>
    <w:unhideWhenUsed/>
    <w:rsid w:val="00945332"/>
    <w:pPr>
      <w:spacing w:after="0" w:line="240" w:lineRule="auto"/>
    </w:pPr>
    <w:rPr>
      <w:sz w:val="20"/>
      <w:szCs w:val="20"/>
    </w:rPr>
  </w:style>
  <w:style w:type="character" w:customStyle="1" w:styleId="a8">
    <w:name w:val="Текст концевой сноски Знак"/>
    <w:basedOn w:val="a0"/>
    <w:link w:val="a7"/>
    <w:uiPriority w:val="99"/>
    <w:semiHidden/>
    <w:rsid w:val="00945332"/>
    <w:rPr>
      <w:sz w:val="20"/>
      <w:szCs w:val="20"/>
    </w:rPr>
  </w:style>
  <w:style w:type="character" w:styleId="a9">
    <w:name w:val="endnote reference"/>
    <w:basedOn w:val="a0"/>
    <w:uiPriority w:val="99"/>
    <w:semiHidden/>
    <w:unhideWhenUsed/>
    <w:rsid w:val="00945332"/>
    <w:rPr>
      <w:vertAlign w:val="superscript"/>
    </w:rPr>
  </w:style>
  <w:style w:type="paragraph" w:customStyle="1" w:styleId="Default">
    <w:name w:val="Default"/>
    <w:rsid w:val="00E235D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note text"/>
    <w:basedOn w:val="a"/>
    <w:link w:val="ab"/>
    <w:uiPriority w:val="99"/>
    <w:semiHidden/>
    <w:unhideWhenUsed/>
    <w:rsid w:val="001E4769"/>
    <w:pPr>
      <w:spacing w:after="0" w:line="240" w:lineRule="auto"/>
    </w:pPr>
    <w:rPr>
      <w:sz w:val="20"/>
      <w:szCs w:val="20"/>
    </w:rPr>
  </w:style>
  <w:style w:type="character" w:customStyle="1" w:styleId="ab">
    <w:name w:val="Текст сноски Знак"/>
    <w:basedOn w:val="a0"/>
    <w:link w:val="aa"/>
    <w:uiPriority w:val="99"/>
    <w:semiHidden/>
    <w:rsid w:val="001E4769"/>
    <w:rPr>
      <w:sz w:val="20"/>
      <w:szCs w:val="20"/>
    </w:rPr>
  </w:style>
  <w:style w:type="character" w:styleId="ac">
    <w:name w:val="footnote reference"/>
    <w:basedOn w:val="a0"/>
    <w:uiPriority w:val="99"/>
    <w:semiHidden/>
    <w:unhideWhenUsed/>
    <w:rsid w:val="001E4769"/>
    <w:rPr>
      <w:vertAlign w:val="superscript"/>
    </w:rPr>
  </w:style>
  <w:style w:type="character" w:styleId="ad">
    <w:name w:val="Hyperlink"/>
    <w:basedOn w:val="a0"/>
    <w:uiPriority w:val="99"/>
    <w:semiHidden/>
    <w:unhideWhenUsed/>
    <w:rsid w:val="00B36E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F547391B70A64C72D48B87F8A157C4BE505F6BAAA5AD613150C6EB1D6C23F6AF8A60D178F3BC69837ED1BABF33BED0FC0BFDE178C996D5EAC2J" TargetMode="External"/><Relationship Id="rId3" Type="http://schemas.openxmlformats.org/officeDocument/2006/relationships/settings" Target="settings.xml"/><Relationship Id="rId7" Type="http://schemas.openxmlformats.org/officeDocument/2006/relationships/hyperlink" Target="https://eoi.cert.roskazna.ru/skiao/prav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09B75-A312-40C2-BF2A-93687548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29</Pages>
  <Words>8284</Words>
  <Characters>47222</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Клепиков Сергей Константинович</dc:creator>
  <cp:keywords/>
  <dc:description/>
  <cp:lastModifiedBy>Шишкова Дарья Александровна</cp:lastModifiedBy>
  <cp:revision>17</cp:revision>
  <cp:lastPrinted>2021-01-20T07:23:00Z</cp:lastPrinted>
  <dcterms:created xsi:type="dcterms:W3CDTF">2023-04-24T06:50:00Z</dcterms:created>
  <dcterms:modified xsi:type="dcterms:W3CDTF">2026-01-26T08:35:00Z</dcterms:modified>
</cp:coreProperties>
</file>